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404D" w14:textId="77777777" w:rsidR="00BD1ED5" w:rsidRDefault="004E5DD7">
      <w:r w:rsidRPr="004E5DD7">
        <w:rPr>
          <w:noProof/>
          <w:lang w:eastAsia="fr-FR"/>
        </w:rPr>
        <w:drawing>
          <wp:inline distT="0" distB="0" distL="0" distR="0" wp14:anchorId="51B9D237" wp14:editId="60C260D8">
            <wp:extent cx="1291119" cy="552450"/>
            <wp:effectExtent l="19050" t="0" r="4281" b="0"/>
            <wp:docPr id="1" name="Image 1" descr="logo fres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resnes"/>
                    <pic:cNvPicPr>
                      <a:picLocks noChangeAspect="1" noChangeArrowheads="1"/>
                    </pic:cNvPicPr>
                  </pic:nvPicPr>
                  <pic:blipFill>
                    <a:blip r:embed="rId8" cstate="print"/>
                    <a:srcRect/>
                    <a:stretch>
                      <a:fillRect/>
                    </a:stretch>
                  </pic:blipFill>
                  <pic:spPr bwMode="auto">
                    <a:xfrm>
                      <a:off x="0" y="0"/>
                      <a:ext cx="1291119" cy="552450"/>
                    </a:xfrm>
                    <a:prstGeom prst="rect">
                      <a:avLst/>
                    </a:prstGeom>
                    <a:noFill/>
                    <a:ln w="9525">
                      <a:noFill/>
                      <a:miter lim="800000"/>
                      <a:headEnd/>
                      <a:tailEnd/>
                    </a:ln>
                  </pic:spPr>
                </pic:pic>
              </a:graphicData>
            </a:graphic>
          </wp:inline>
        </w:drawing>
      </w:r>
    </w:p>
    <w:p w14:paraId="3F978A09" w14:textId="77777777" w:rsidR="008E7449" w:rsidRDefault="008E7449"/>
    <w:p w14:paraId="339760B9" w14:textId="77777777" w:rsidR="008E7449" w:rsidRPr="00FE5EE8" w:rsidRDefault="008E7449">
      <w:pPr>
        <w:rPr>
          <w:rFonts w:ascii="Arial" w:hAnsi="Arial" w:cs="Arial"/>
          <w:sz w:val="24"/>
          <w:szCs w:val="24"/>
        </w:rPr>
      </w:pPr>
    </w:p>
    <w:p w14:paraId="516670CC" w14:textId="77777777" w:rsidR="008E7449" w:rsidRPr="00FE5EE8" w:rsidRDefault="008E7449" w:rsidP="008E7449">
      <w:pPr>
        <w:jc w:val="center"/>
        <w:rPr>
          <w:rFonts w:ascii="Arial" w:hAnsi="Arial" w:cs="Arial"/>
          <w:b/>
          <w:sz w:val="24"/>
          <w:szCs w:val="24"/>
        </w:rPr>
      </w:pPr>
      <w:r w:rsidRPr="00FE5EE8">
        <w:rPr>
          <w:rFonts w:ascii="Arial" w:hAnsi="Arial" w:cs="Arial"/>
          <w:b/>
          <w:sz w:val="24"/>
          <w:szCs w:val="24"/>
        </w:rPr>
        <w:t>VILLE DE FRESNES</w:t>
      </w:r>
    </w:p>
    <w:p w14:paraId="620228E9" w14:textId="77777777" w:rsidR="008E7449" w:rsidRPr="00FE5EE8" w:rsidRDefault="008E7449" w:rsidP="008E7449">
      <w:pPr>
        <w:jc w:val="center"/>
        <w:rPr>
          <w:rFonts w:ascii="Arial" w:hAnsi="Arial" w:cs="Arial"/>
          <w:b/>
          <w:sz w:val="24"/>
          <w:szCs w:val="24"/>
        </w:rPr>
      </w:pPr>
    </w:p>
    <w:p w14:paraId="07E85494" w14:textId="77777777" w:rsidR="008E7449" w:rsidRPr="00FE5EE8" w:rsidRDefault="008E7449" w:rsidP="008E7449">
      <w:pPr>
        <w:jc w:val="center"/>
        <w:rPr>
          <w:rFonts w:ascii="Arial" w:hAnsi="Arial" w:cs="Arial"/>
          <w:b/>
          <w:sz w:val="24"/>
          <w:szCs w:val="24"/>
        </w:rPr>
      </w:pPr>
      <w:r w:rsidRPr="00FE5EE8">
        <w:rPr>
          <w:rFonts w:ascii="Arial" w:hAnsi="Arial" w:cs="Arial"/>
          <w:b/>
          <w:sz w:val="24"/>
          <w:szCs w:val="24"/>
        </w:rPr>
        <w:t>RAPPO</w:t>
      </w:r>
      <w:r w:rsidR="002A2F2C">
        <w:rPr>
          <w:rFonts w:ascii="Arial" w:hAnsi="Arial" w:cs="Arial"/>
          <w:b/>
          <w:sz w:val="24"/>
          <w:szCs w:val="24"/>
        </w:rPr>
        <w:t>RT D’ORIENTATION BUDGETAIRE 2022</w:t>
      </w:r>
    </w:p>
    <w:p w14:paraId="770174C0" w14:textId="77777777" w:rsidR="008E7449" w:rsidRDefault="008E7449" w:rsidP="008E7449">
      <w:pPr>
        <w:jc w:val="center"/>
        <w:rPr>
          <w:rFonts w:ascii="Arial Narrow" w:hAnsi="Arial Narrow"/>
          <w:b/>
          <w:sz w:val="40"/>
          <w:szCs w:val="40"/>
        </w:rPr>
      </w:pPr>
    </w:p>
    <w:p w14:paraId="0DE8D26E" w14:textId="77777777" w:rsidR="008E7449" w:rsidRDefault="008E7449" w:rsidP="008E7449">
      <w:pPr>
        <w:jc w:val="center"/>
        <w:rPr>
          <w:rFonts w:ascii="Arial Narrow" w:hAnsi="Arial Narrow"/>
          <w:b/>
          <w:sz w:val="40"/>
          <w:szCs w:val="40"/>
        </w:rPr>
      </w:pPr>
    </w:p>
    <w:p w14:paraId="37DD6FFF" w14:textId="77777777" w:rsidR="008E7449" w:rsidRDefault="008E7449" w:rsidP="008E7449">
      <w:pPr>
        <w:jc w:val="center"/>
        <w:rPr>
          <w:rFonts w:ascii="Arial Narrow" w:hAnsi="Arial Narrow"/>
          <w:b/>
          <w:sz w:val="40"/>
          <w:szCs w:val="40"/>
        </w:rPr>
      </w:pPr>
    </w:p>
    <w:p w14:paraId="451E5FA8" w14:textId="77777777" w:rsidR="008E7449" w:rsidRDefault="008E7449" w:rsidP="008E7449">
      <w:pPr>
        <w:jc w:val="center"/>
        <w:rPr>
          <w:rFonts w:ascii="Arial Narrow" w:hAnsi="Arial Narrow"/>
          <w:b/>
          <w:sz w:val="40"/>
          <w:szCs w:val="40"/>
        </w:rPr>
      </w:pPr>
    </w:p>
    <w:p w14:paraId="39487797" w14:textId="77777777" w:rsidR="008E7449" w:rsidRDefault="008E7449" w:rsidP="008E7449">
      <w:pPr>
        <w:jc w:val="center"/>
        <w:rPr>
          <w:rFonts w:ascii="Arial Narrow" w:hAnsi="Arial Narrow"/>
          <w:b/>
          <w:sz w:val="40"/>
          <w:szCs w:val="40"/>
        </w:rPr>
      </w:pPr>
    </w:p>
    <w:p w14:paraId="2C20A13E" w14:textId="77777777" w:rsidR="008E7449" w:rsidRDefault="008E7449" w:rsidP="008E7449">
      <w:pPr>
        <w:jc w:val="center"/>
        <w:rPr>
          <w:rFonts w:ascii="Arial Narrow" w:hAnsi="Arial Narrow"/>
          <w:b/>
          <w:sz w:val="40"/>
          <w:szCs w:val="40"/>
        </w:rPr>
      </w:pPr>
    </w:p>
    <w:p w14:paraId="7AD682A3" w14:textId="77777777" w:rsidR="008E7449" w:rsidRDefault="008E7449" w:rsidP="008E7449">
      <w:pPr>
        <w:jc w:val="center"/>
        <w:rPr>
          <w:rFonts w:ascii="Arial Narrow" w:hAnsi="Arial Narrow"/>
          <w:b/>
          <w:sz w:val="40"/>
          <w:szCs w:val="40"/>
        </w:rPr>
      </w:pPr>
    </w:p>
    <w:p w14:paraId="125EB37C" w14:textId="77777777" w:rsidR="008E7449" w:rsidRDefault="008E7449" w:rsidP="008E7449">
      <w:pPr>
        <w:jc w:val="center"/>
        <w:rPr>
          <w:rFonts w:ascii="Arial Narrow" w:hAnsi="Arial Narrow"/>
          <w:b/>
          <w:sz w:val="40"/>
          <w:szCs w:val="40"/>
        </w:rPr>
      </w:pPr>
    </w:p>
    <w:p w14:paraId="561850B8" w14:textId="77777777" w:rsidR="008E7449" w:rsidRDefault="008E7449" w:rsidP="008E7449">
      <w:pPr>
        <w:jc w:val="center"/>
        <w:rPr>
          <w:rFonts w:ascii="Arial Narrow" w:hAnsi="Arial Narrow"/>
          <w:b/>
          <w:sz w:val="40"/>
          <w:szCs w:val="40"/>
        </w:rPr>
      </w:pPr>
    </w:p>
    <w:p w14:paraId="7DDD9747" w14:textId="77777777" w:rsidR="008E7449" w:rsidRDefault="008E7449" w:rsidP="008E7449">
      <w:pPr>
        <w:jc w:val="center"/>
        <w:rPr>
          <w:rFonts w:ascii="Arial Narrow" w:hAnsi="Arial Narrow"/>
          <w:b/>
          <w:sz w:val="40"/>
          <w:szCs w:val="40"/>
        </w:rPr>
      </w:pPr>
    </w:p>
    <w:p w14:paraId="39018956" w14:textId="77777777" w:rsidR="008E7449" w:rsidRDefault="008E7449" w:rsidP="008E7449">
      <w:pPr>
        <w:jc w:val="center"/>
        <w:rPr>
          <w:rFonts w:ascii="Arial Narrow" w:hAnsi="Arial Narrow"/>
          <w:b/>
          <w:sz w:val="40"/>
          <w:szCs w:val="40"/>
        </w:rPr>
      </w:pPr>
    </w:p>
    <w:p w14:paraId="0AFE7C8A" w14:textId="77777777" w:rsidR="008E7449" w:rsidRPr="00FE5EE8" w:rsidRDefault="008E7449" w:rsidP="008E7449">
      <w:pPr>
        <w:jc w:val="center"/>
        <w:rPr>
          <w:rFonts w:ascii="Arial" w:hAnsi="Arial" w:cs="Arial"/>
          <w:b/>
          <w:sz w:val="28"/>
          <w:szCs w:val="28"/>
        </w:rPr>
      </w:pPr>
      <w:r w:rsidRPr="00FE5EE8">
        <w:rPr>
          <w:rFonts w:ascii="Arial" w:hAnsi="Arial" w:cs="Arial"/>
          <w:b/>
          <w:sz w:val="28"/>
          <w:szCs w:val="28"/>
        </w:rPr>
        <w:t>Conseil municipal du</w:t>
      </w:r>
      <w:r w:rsidR="002A2F2C">
        <w:rPr>
          <w:rFonts w:ascii="Arial" w:hAnsi="Arial" w:cs="Arial"/>
          <w:b/>
          <w:sz w:val="28"/>
          <w:szCs w:val="28"/>
        </w:rPr>
        <w:t xml:space="preserve"> 17 février 2022</w:t>
      </w:r>
    </w:p>
    <w:p w14:paraId="5FFC7ADF" w14:textId="77777777" w:rsidR="00571FE1" w:rsidRDefault="00571FE1" w:rsidP="008E7449">
      <w:pPr>
        <w:jc w:val="center"/>
        <w:rPr>
          <w:rFonts w:ascii="Arial Narrow" w:hAnsi="Arial Narrow"/>
          <w:b/>
          <w:sz w:val="40"/>
          <w:szCs w:val="40"/>
        </w:rPr>
      </w:pPr>
    </w:p>
    <w:p w14:paraId="74029473" w14:textId="77777777" w:rsidR="00CF7664" w:rsidRDefault="00CF7664" w:rsidP="00571FE1">
      <w:pPr>
        <w:rPr>
          <w:rFonts w:ascii="Arial Narrow" w:hAnsi="Arial Narrow"/>
          <w:b/>
        </w:rPr>
      </w:pPr>
    </w:p>
    <w:p w14:paraId="2205FF02" w14:textId="77777777" w:rsidR="00FE5EE8" w:rsidRDefault="00FE5EE8" w:rsidP="00571FE1">
      <w:pPr>
        <w:rPr>
          <w:rFonts w:ascii="Arial Narrow" w:hAnsi="Arial Narrow"/>
          <w:b/>
        </w:rPr>
      </w:pPr>
    </w:p>
    <w:p w14:paraId="5B14B3AF" w14:textId="77777777" w:rsidR="009E7EC7" w:rsidRPr="00FE5EE8" w:rsidRDefault="009E7EC7" w:rsidP="00571FE1">
      <w:pPr>
        <w:rPr>
          <w:rFonts w:ascii="Arial" w:hAnsi="Arial" w:cs="Arial"/>
          <w:b/>
          <w:sz w:val="20"/>
          <w:szCs w:val="20"/>
        </w:rPr>
      </w:pPr>
      <w:r w:rsidRPr="00FE5EE8">
        <w:rPr>
          <w:rFonts w:ascii="Arial" w:hAnsi="Arial" w:cs="Arial"/>
          <w:b/>
          <w:sz w:val="20"/>
          <w:szCs w:val="20"/>
        </w:rPr>
        <w:lastRenderedPageBreak/>
        <w:t>Préambule</w:t>
      </w:r>
    </w:p>
    <w:p w14:paraId="443E371C" w14:textId="77777777" w:rsidR="006D0CD9" w:rsidRPr="00FE5EE8" w:rsidRDefault="006D0CD9" w:rsidP="009E7EC7">
      <w:pPr>
        <w:jc w:val="both"/>
        <w:rPr>
          <w:rFonts w:ascii="Arial" w:hAnsi="Arial" w:cs="Arial"/>
          <w:sz w:val="20"/>
          <w:szCs w:val="20"/>
        </w:rPr>
      </w:pPr>
      <w:r w:rsidRPr="00FE5EE8">
        <w:rPr>
          <w:rFonts w:ascii="Arial" w:hAnsi="Arial" w:cs="Arial"/>
          <w:sz w:val="20"/>
          <w:szCs w:val="20"/>
        </w:rPr>
        <w:t>Le rapport d’orientation budgétaire (ROB) constitue la première étape du cycle budgétaire annuel des collectivités territoriales. Il doit être présenté dans les deux mois qui précèdent l’examen du budget primitif et doit permettre à l’assemblée délibérante d’échanger sur les principales directives budgétaires et d’être informée sur la situation financière de la ville. Il doit permettre une vision précise des finances de la ville et des orientations poursuivies.</w:t>
      </w:r>
    </w:p>
    <w:p w14:paraId="21D514A6" w14:textId="77777777" w:rsidR="00D2464D" w:rsidRPr="00FE5EE8" w:rsidRDefault="00B860B9" w:rsidP="00B860B9">
      <w:pPr>
        <w:jc w:val="both"/>
        <w:rPr>
          <w:rFonts w:ascii="Arial" w:hAnsi="Arial" w:cs="Arial"/>
          <w:sz w:val="20"/>
          <w:szCs w:val="20"/>
        </w:rPr>
      </w:pPr>
      <w:r w:rsidRPr="00FE5EE8">
        <w:rPr>
          <w:rFonts w:ascii="Arial" w:hAnsi="Arial" w:cs="Arial"/>
          <w:sz w:val="20"/>
          <w:szCs w:val="20"/>
        </w:rPr>
        <w:t xml:space="preserve">L’article 107 de la loi n°2015-991 du 7 août 2015 portant nouvelle organisation territoriale de la République, dite loi </w:t>
      </w:r>
      <w:proofErr w:type="spellStart"/>
      <w:r w:rsidRPr="00FE5EE8">
        <w:rPr>
          <w:rFonts w:ascii="Arial" w:hAnsi="Arial" w:cs="Arial"/>
          <w:sz w:val="20"/>
          <w:szCs w:val="20"/>
        </w:rPr>
        <w:t>NOTR</w:t>
      </w:r>
      <w:r w:rsidR="00643A34">
        <w:rPr>
          <w:rFonts w:ascii="Arial" w:hAnsi="Arial" w:cs="Arial"/>
          <w:sz w:val="20"/>
          <w:szCs w:val="20"/>
        </w:rPr>
        <w:t>e</w:t>
      </w:r>
      <w:proofErr w:type="spellEnd"/>
      <w:r w:rsidRPr="00FE5EE8">
        <w:rPr>
          <w:rFonts w:ascii="Arial" w:hAnsi="Arial" w:cs="Arial"/>
          <w:sz w:val="20"/>
          <w:szCs w:val="20"/>
        </w:rPr>
        <w:t>, a voulu accentuer l’information des conseillers municipaux et donc substituer le Rapport d’Orientation Budgétaire (ROB) au Débat d’Orientation budgétaire (DOB) en complétant notamment les dispositions relatives au contenu du débat.</w:t>
      </w:r>
    </w:p>
    <w:p w14:paraId="0685F83A" w14:textId="77777777" w:rsidR="00B860B9" w:rsidRPr="00FE5EE8" w:rsidRDefault="00B860B9" w:rsidP="00B860B9">
      <w:pPr>
        <w:jc w:val="both"/>
        <w:rPr>
          <w:rFonts w:ascii="Arial" w:hAnsi="Arial" w:cs="Arial"/>
          <w:sz w:val="20"/>
          <w:szCs w:val="20"/>
        </w:rPr>
      </w:pPr>
      <w:r w:rsidRPr="00FE5EE8">
        <w:rPr>
          <w:rFonts w:ascii="Arial" w:hAnsi="Arial" w:cs="Arial"/>
          <w:sz w:val="20"/>
          <w:szCs w:val="20"/>
        </w:rPr>
        <w:t>Le décret n° 2016-841 du 24 juin 2016 a précisé le contenu du rapport dans les communes de 3</w:t>
      </w:r>
      <w:r w:rsidR="00BC50C0">
        <w:rPr>
          <w:rFonts w:ascii="Arial" w:hAnsi="Arial" w:cs="Arial"/>
          <w:sz w:val="20"/>
          <w:szCs w:val="20"/>
        </w:rPr>
        <w:t xml:space="preserve"> </w:t>
      </w:r>
      <w:r w:rsidRPr="00FE5EE8">
        <w:rPr>
          <w:rFonts w:ascii="Arial" w:hAnsi="Arial" w:cs="Arial"/>
          <w:sz w:val="20"/>
          <w:szCs w:val="20"/>
        </w:rPr>
        <w:t xml:space="preserve">500 habitants et plus, dans les EPCI et syndicats mixtes ayant une telle commune dans leurs membres, dans les départements et les régions. </w:t>
      </w:r>
    </w:p>
    <w:p w14:paraId="5C908D54" w14:textId="77777777" w:rsidR="00A21A3C" w:rsidRPr="00FE5EE8" w:rsidRDefault="00B860B9" w:rsidP="00B860B9">
      <w:pPr>
        <w:jc w:val="both"/>
        <w:rPr>
          <w:rFonts w:ascii="Arial" w:hAnsi="Arial" w:cs="Arial"/>
          <w:sz w:val="20"/>
          <w:szCs w:val="20"/>
        </w:rPr>
      </w:pPr>
      <w:r w:rsidRPr="00FE5EE8">
        <w:rPr>
          <w:rFonts w:ascii="Arial" w:hAnsi="Arial" w:cs="Arial"/>
          <w:sz w:val="20"/>
          <w:szCs w:val="20"/>
        </w:rPr>
        <w:t xml:space="preserve">De plus, l’article 13 de la loi n°2018-32 du 22 janvier 2018 de programmation des finances publiques pour les années 2018 à 2022 prévoit l’obligation d’une présentation des objectifs concernant l’évolution des dépenses réelles de fonctionnement, exprimées en valeur, ainsi que de l’évolution du besoin de financement annuel. </w:t>
      </w:r>
    </w:p>
    <w:p w14:paraId="308ABB90" w14:textId="77777777" w:rsidR="00A21A3C" w:rsidRPr="00FE5EE8" w:rsidRDefault="00B860B9" w:rsidP="00B860B9">
      <w:pPr>
        <w:jc w:val="both"/>
        <w:rPr>
          <w:rFonts w:ascii="Arial" w:hAnsi="Arial" w:cs="Arial"/>
          <w:sz w:val="20"/>
          <w:szCs w:val="20"/>
        </w:rPr>
      </w:pPr>
      <w:r w:rsidRPr="00FE5EE8">
        <w:rPr>
          <w:rFonts w:ascii="Arial" w:hAnsi="Arial" w:cs="Arial"/>
          <w:sz w:val="20"/>
          <w:szCs w:val="20"/>
        </w:rPr>
        <w:t xml:space="preserve">Il est ainsi spécifié à l’article L. 2312-1 du Code général des collectivités territoriales </w:t>
      </w:r>
      <w:proofErr w:type="gramStart"/>
      <w:r w:rsidRPr="00FE5EE8">
        <w:rPr>
          <w:rFonts w:ascii="Arial" w:hAnsi="Arial" w:cs="Arial"/>
          <w:sz w:val="20"/>
          <w:szCs w:val="20"/>
        </w:rPr>
        <w:t>que:</w:t>
      </w:r>
      <w:proofErr w:type="gramEnd"/>
      <w:r w:rsidRPr="00FE5EE8">
        <w:rPr>
          <w:rFonts w:ascii="Arial" w:hAnsi="Arial" w:cs="Arial"/>
          <w:sz w:val="20"/>
          <w:szCs w:val="20"/>
        </w:rPr>
        <w:t xml:space="preserve"> </w:t>
      </w:r>
    </w:p>
    <w:p w14:paraId="554A5A4E" w14:textId="77777777" w:rsidR="00A21A3C" w:rsidRPr="00FE5EE8" w:rsidRDefault="00B860B9" w:rsidP="00B860B9">
      <w:pPr>
        <w:jc w:val="both"/>
        <w:rPr>
          <w:rFonts w:ascii="Arial" w:hAnsi="Arial" w:cs="Arial"/>
          <w:sz w:val="20"/>
          <w:szCs w:val="20"/>
        </w:rPr>
      </w:pPr>
      <w:proofErr w:type="gramStart"/>
      <w:r w:rsidRPr="00FE5EE8">
        <w:rPr>
          <w:rFonts w:ascii="Arial" w:hAnsi="Arial" w:cs="Arial"/>
          <w:sz w:val="20"/>
          <w:szCs w:val="20"/>
        </w:rPr>
        <w:t>«Dans</w:t>
      </w:r>
      <w:proofErr w:type="gramEnd"/>
      <w:r w:rsidRPr="00FE5EE8">
        <w:rPr>
          <w:rFonts w:ascii="Arial" w:hAnsi="Arial" w:cs="Arial"/>
          <w:sz w:val="20"/>
          <w:szCs w:val="20"/>
        </w:rPr>
        <w:t xml:space="preserve"> les communes de 3</w:t>
      </w:r>
      <w:r w:rsidR="00BC50C0">
        <w:rPr>
          <w:rFonts w:ascii="Arial" w:hAnsi="Arial" w:cs="Arial"/>
          <w:sz w:val="20"/>
          <w:szCs w:val="20"/>
        </w:rPr>
        <w:t xml:space="preserve"> </w:t>
      </w:r>
      <w:r w:rsidRPr="00FE5EE8">
        <w:rPr>
          <w:rFonts w:ascii="Arial" w:hAnsi="Arial" w:cs="Arial"/>
          <w:sz w:val="20"/>
          <w:szCs w:val="20"/>
        </w:rPr>
        <w:t xml:space="preserve">500 habitants et plus, le Maire présente au conseil municipal, dans un délai de deux mois précédant l’examen du budget, un rapport sur les orientations budgétaires, les engagements pluriannuels envisagés ainsi que sur la structure et la gestion de la dette. Ce rapport donne lieu à un débat au conseil municipal, dans les conditions fixées par le règlement intérieur prévu à l’article L. 2121-8. Il est pris acte de ce débat par une </w:t>
      </w:r>
      <w:r w:rsidR="00D766DD" w:rsidRPr="00FE5EE8">
        <w:rPr>
          <w:rFonts w:ascii="Arial" w:hAnsi="Arial" w:cs="Arial"/>
          <w:sz w:val="20"/>
          <w:szCs w:val="20"/>
        </w:rPr>
        <w:t>délibération spécifique</w:t>
      </w:r>
      <w:r w:rsidRPr="00FE5EE8">
        <w:rPr>
          <w:rFonts w:ascii="Arial" w:hAnsi="Arial" w:cs="Arial"/>
          <w:sz w:val="20"/>
          <w:szCs w:val="20"/>
        </w:rPr>
        <w:t>.</w:t>
      </w:r>
      <w:r w:rsidR="00B6224E">
        <w:rPr>
          <w:rFonts w:ascii="Arial" w:hAnsi="Arial" w:cs="Arial"/>
          <w:sz w:val="20"/>
          <w:szCs w:val="20"/>
        </w:rPr>
        <w:t xml:space="preserve"> </w:t>
      </w:r>
      <w:r w:rsidRPr="00FE5EE8">
        <w:rPr>
          <w:rFonts w:ascii="Arial" w:hAnsi="Arial" w:cs="Arial"/>
          <w:sz w:val="20"/>
          <w:szCs w:val="20"/>
        </w:rPr>
        <w:t>Dans les communes de plus de 10</w:t>
      </w:r>
      <w:r w:rsidR="00B6224E">
        <w:rPr>
          <w:rFonts w:ascii="Arial" w:hAnsi="Arial" w:cs="Arial"/>
          <w:sz w:val="20"/>
          <w:szCs w:val="20"/>
        </w:rPr>
        <w:t xml:space="preserve"> </w:t>
      </w:r>
      <w:r w:rsidRPr="00FE5EE8">
        <w:rPr>
          <w:rFonts w:ascii="Arial" w:hAnsi="Arial" w:cs="Arial"/>
          <w:sz w:val="20"/>
          <w:szCs w:val="20"/>
        </w:rPr>
        <w:t xml:space="preserve">000 habitants, le rapport mentionné au deuxième alinéa du présent article comporte, en outre, une présentation de la structure et de l’évolution des dépenses et effectifs. Ce rapport précise notamment l’évolution prévisionnelle et l’exécution des dépenses de personnel, des rémunérations, des avantages en nature et du temps de travail. Il est transmis au représentant de l’Etat dans le Département et au président de l’établissement public de coopération intercommunale dont la commune est membre ; il fait l’objet d’une publication. Le contenu du rapport ainsi que les modalités de sa transmission et de sa publication sont fixés par </w:t>
      </w:r>
      <w:proofErr w:type="gramStart"/>
      <w:r w:rsidRPr="00FE5EE8">
        <w:rPr>
          <w:rFonts w:ascii="Arial" w:hAnsi="Arial" w:cs="Arial"/>
          <w:sz w:val="20"/>
          <w:szCs w:val="20"/>
        </w:rPr>
        <w:t>décret»</w:t>
      </w:r>
      <w:proofErr w:type="gramEnd"/>
      <w:r w:rsidRPr="00FE5EE8">
        <w:rPr>
          <w:rFonts w:ascii="Arial" w:hAnsi="Arial" w:cs="Arial"/>
          <w:sz w:val="20"/>
          <w:szCs w:val="20"/>
        </w:rPr>
        <w:t>.</w:t>
      </w:r>
    </w:p>
    <w:p w14:paraId="207737C2" w14:textId="77777777" w:rsidR="006D0CD9" w:rsidRPr="00FE5EE8" w:rsidRDefault="00B860B9" w:rsidP="00B860B9">
      <w:pPr>
        <w:jc w:val="both"/>
        <w:rPr>
          <w:rFonts w:ascii="Arial" w:hAnsi="Arial" w:cs="Arial"/>
          <w:b/>
          <w:sz w:val="20"/>
          <w:szCs w:val="20"/>
        </w:rPr>
      </w:pPr>
      <w:r w:rsidRPr="00FE5EE8">
        <w:rPr>
          <w:rFonts w:ascii="Arial" w:hAnsi="Arial" w:cs="Arial"/>
          <w:sz w:val="20"/>
          <w:szCs w:val="20"/>
        </w:rPr>
        <w:t>Le ROB comporte notamment</w:t>
      </w:r>
      <w:r w:rsidR="00B6224E">
        <w:rPr>
          <w:rFonts w:ascii="Arial" w:hAnsi="Arial" w:cs="Arial"/>
          <w:sz w:val="20"/>
          <w:szCs w:val="20"/>
        </w:rPr>
        <w:t xml:space="preserve"> </w:t>
      </w:r>
      <w:r w:rsidRPr="00FE5EE8">
        <w:rPr>
          <w:rFonts w:ascii="Arial" w:hAnsi="Arial" w:cs="Arial"/>
          <w:sz w:val="20"/>
          <w:szCs w:val="20"/>
        </w:rPr>
        <w:t>des données sur le con</w:t>
      </w:r>
      <w:r w:rsidR="00C63CCE" w:rsidRPr="00FE5EE8">
        <w:rPr>
          <w:rFonts w:ascii="Arial" w:hAnsi="Arial" w:cs="Arial"/>
          <w:sz w:val="20"/>
          <w:szCs w:val="20"/>
        </w:rPr>
        <w:t xml:space="preserve">texte budgétaire international, </w:t>
      </w:r>
      <w:r w:rsidRPr="00FE5EE8">
        <w:rPr>
          <w:rFonts w:ascii="Arial" w:hAnsi="Arial" w:cs="Arial"/>
          <w:sz w:val="20"/>
          <w:szCs w:val="20"/>
        </w:rPr>
        <w:t>l’environnement économique national, les orientations budgétaires de l’Etat concernant les collectivités locales</w:t>
      </w:r>
      <w:r w:rsidR="00A21A3C" w:rsidRPr="00FE5EE8">
        <w:rPr>
          <w:rFonts w:ascii="Arial" w:hAnsi="Arial" w:cs="Arial"/>
          <w:sz w:val="20"/>
          <w:szCs w:val="20"/>
        </w:rPr>
        <w:t xml:space="preserve">, </w:t>
      </w:r>
      <w:r w:rsidRPr="00FE5EE8">
        <w:rPr>
          <w:rFonts w:ascii="Arial" w:hAnsi="Arial" w:cs="Arial"/>
          <w:sz w:val="20"/>
          <w:szCs w:val="20"/>
        </w:rPr>
        <w:t>une analyse de la situation financière de la collectivité</w:t>
      </w:r>
      <w:r w:rsidR="00A21A3C" w:rsidRPr="00FE5EE8">
        <w:rPr>
          <w:rFonts w:ascii="Arial" w:hAnsi="Arial" w:cs="Arial"/>
          <w:sz w:val="20"/>
          <w:szCs w:val="20"/>
        </w:rPr>
        <w:t xml:space="preserve"> ainsi que </w:t>
      </w:r>
      <w:r w:rsidRPr="00FE5EE8">
        <w:rPr>
          <w:rFonts w:ascii="Arial" w:hAnsi="Arial" w:cs="Arial"/>
          <w:sz w:val="20"/>
          <w:szCs w:val="20"/>
        </w:rPr>
        <w:t>les perspectives pour l’année concernée</w:t>
      </w:r>
      <w:r w:rsidR="00A21A3C" w:rsidRPr="00FE5EE8">
        <w:rPr>
          <w:rFonts w:ascii="Arial" w:hAnsi="Arial" w:cs="Arial"/>
          <w:sz w:val="20"/>
          <w:szCs w:val="20"/>
        </w:rPr>
        <w:t>.</w:t>
      </w:r>
    </w:p>
    <w:p w14:paraId="18A2C3A7" w14:textId="77777777" w:rsidR="00FC2954" w:rsidRDefault="00FC2954">
      <w:pPr>
        <w:rPr>
          <w:rFonts w:ascii="Arial Narrow" w:hAnsi="Arial Narrow"/>
          <w:b/>
        </w:rPr>
      </w:pPr>
      <w:r>
        <w:rPr>
          <w:rFonts w:ascii="Arial Narrow" w:hAnsi="Arial Narrow"/>
          <w:b/>
        </w:rPr>
        <w:br w:type="page"/>
      </w:r>
    </w:p>
    <w:p w14:paraId="37389DA8" w14:textId="77777777" w:rsidR="00571FE1" w:rsidRPr="00FE5EE8" w:rsidRDefault="00571FE1" w:rsidP="00571FE1">
      <w:pPr>
        <w:rPr>
          <w:rFonts w:ascii="Arial" w:hAnsi="Arial" w:cs="Arial"/>
          <w:b/>
          <w:sz w:val="20"/>
          <w:szCs w:val="20"/>
        </w:rPr>
      </w:pPr>
      <w:proofErr w:type="gramStart"/>
      <w:r w:rsidRPr="00FE5EE8">
        <w:rPr>
          <w:rFonts w:ascii="Arial" w:hAnsi="Arial" w:cs="Arial"/>
          <w:b/>
          <w:sz w:val="20"/>
          <w:szCs w:val="20"/>
        </w:rPr>
        <w:lastRenderedPageBreak/>
        <w:t>1  –</w:t>
      </w:r>
      <w:proofErr w:type="gramEnd"/>
      <w:r w:rsidRPr="00FE5EE8">
        <w:rPr>
          <w:rFonts w:ascii="Arial" w:hAnsi="Arial" w:cs="Arial"/>
          <w:b/>
          <w:sz w:val="20"/>
          <w:szCs w:val="20"/>
        </w:rPr>
        <w:t xml:space="preserve"> </w:t>
      </w:r>
      <w:r w:rsidR="00A21A3C" w:rsidRPr="00FE5EE8">
        <w:rPr>
          <w:rFonts w:ascii="Arial" w:hAnsi="Arial" w:cs="Arial"/>
          <w:b/>
          <w:sz w:val="20"/>
          <w:szCs w:val="20"/>
        </w:rPr>
        <w:t xml:space="preserve">Le contexte </w:t>
      </w:r>
      <w:r w:rsidR="006B12AF" w:rsidRPr="00FE5EE8">
        <w:rPr>
          <w:rFonts w:ascii="Arial" w:hAnsi="Arial" w:cs="Arial"/>
          <w:b/>
          <w:sz w:val="20"/>
          <w:szCs w:val="20"/>
        </w:rPr>
        <w:t>international et national</w:t>
      </w:r>
    </w:p>
    <w:p w14:paraId="12051485" w14:textId="77777777" w:rsidR="00F4629A" w:rsidRPr="00615011" w:rsidRDefault="006B12AF" w:rsidP="00341501">
      <w:pPr>
        <w:jc w:val="both"/>
        <w:rPr>
          <w:rFonts w:ascii="Arial" w:hAnsi="Arial" w:cs="Arial"/>
          <w:sz w:val="20"/>
          <w:szCs w:val="20"/>
        </w:rPr>
      </w:pPr>
      <w:r w:rsidRPr="00615011">
        <w:rPr>
          <w:rFonts w:ascii="Arial" w:hAnsi="Arial" w:cs="Arial"/>
          <w:sz w:val="20"/>
          <w:szCs w:val="20"/>
        </w:rPr>
        <w:t xml:space="preserve">La situation internationale se caractérise par </w:t>
      </w:r>
      <w:r w:rsidR="00AA6316" w:rsidRPr="00615011">
        <w:rPr>
          <w:rFonts w:ascii="Arial" w:hAnsi="Arial" w:cs="Arial"/>
          <w:sz w:val="20"/>
          <w:szCs w:val="20"/>
        </w:rPr>
        <w:t>une poursuite de la reprise mondiale</w:t>
      </w:r>
      <w:r w:rsidRPr="00615011">
        <w:rPr>
          <w:rFonts w:ascii="Arial" w:hAnsi="Arial" w:cs="Arial"/>
          <w:sz w:val="20"/>
          <w:szCs w:val="20"/>
        </w:rPr>
        <w:t xml:space="preserve"> </w:t>
      </w:r>
      <w:r w:rsidR="00F4629A" w:rsidRPr="00615011">
        <w:rPr>
          <w:rFonts w:ascii="Arial" w:hAnsi="Arial" w:cs="Arial"/>
          <w:sz w:val="20"/>
          <w:szCs w:val="20"/>
        </w:rPr>
        <w:t xml:space="preserve">en </w:t>
      </w:r>
      <w:r w:rsidR="00AA6316" w:rsidRPr="00615011">
        <w:rPr>
          <w:rFonts w:ascii="Arial" w:hAnsi="Arial" w:cs="Arial"/>
          <w:sz w:val="20"/>
          <w:szCs w:val="20"/>
        </w:rPr>
        <w:t>2022</w:t>
      </w:r>
      <w:r w:rsidR="004F77F8" w:rsidRPr="00615011">
        <w:rPr>
          <w:rFonts w:ascii="Arial" w:hAnsi="Arial" w:cs="Arial"/>
          <w:sz w:val="20"/>
          <w:szCs w:val="20"/>
        </w:rPr>
        <w:t>.</w:t>
      </w:r>
      <w:r w:rsidR="00021BDF" w:rsidRPr="00615011">
        <w:rPr>
          <w:rFonts w:ascii="Arial" w:hAnsi="Arial" w:cs="Arial"/>
          <w:sz w:val="20"/>
          <w:szCs w:val="20"/>
        </w:rPr>
        <w:t xml:space="preserve"> </w:t>
      </w:r>
      <w:r w:rsidR="004F77F8" w:rsidRPr="00615011">
        <w:rPr>
          <w:rFonts w:ascii="Arial" w:hAnsi="Arial" w:cs="Arial"/>
          <w:sz w:val="20"/>
          <w:szCs w:val="20"/>
        </w:rPr>
        <w:t>L</w:t>
      </w:r>
      <w:r w:rsidRPr="00615011">
        <w:rPr>
          <w:rFonts w:ascii="Arial" w:hAnsi="Arial" w:cs="Arial"/>
          <w:sz w:val="20"/>
          <w:szCs w:val="20"/>
        </w:rPr>
        <w:t xml:space="preserve">’Organisation de </w:t>
      </w:r>
      <w:r w:rsidR="00884B89">
        <w:rPr>
          <w:rFonts w:ascii="Arial" w:hAnsi="Arial" w:cs="Arial"/>
          <w:sz w:val="20"/>
          <w:szCs w:val="20"/>
        </w:rPr>
        <w:t>C</w:t>
      </w:r>
      <w:r w:rsidR="00884B89" w:rsidRPr="00615011">
        <w:rPr>
          <w:rFonts w:ascii="Arial" w:hAnsi="Arial" w:cs="Arial"/>
          <w:sz w:val="20"/>
          <w:szCs w:val="20"/>
        </w:rPr>
        <w:t xml:space="preserve">oopération </w:t>
      </w:r>
      <w:r w:rsidRPr="00615011">
        <w:rPr>
          <w:rFonts w:ascii="Arial" w:hAnsi="Arial" w:cs="Arial"/>
          <w:sz w:val="20"/>
          <w:szCs w:val="20"/>
        </w:rPr>
        <w:t xml:space="preserve">et de </w:t>
      </w:r>
      <w:r w:rsidR="00884B89">
        <w:rPr>
          <w:rFonts w:ascii="Arial" w:hAnsi="Arial" w:cs="Arial"/>
          <w:sz w:val="20"/>
          <w:szCs w:val="20"/>
        </w:rPr>
        <w:t>D</w:t>
      </w:r>
      <w:r w:rsidR="00884B89" w:rsidRPr="00615011">
        <w:rPr>
          <w:rFonts w:ascii="Arial" w:hAnsi="Arial" w:cs="Arial"/>
          <w:sz w:val="20"/>
          <w:szCs w:val="20"/>
        </w:rPr>
        <w:t xml:space="preserve">éveloppement </w:t>
      </w:r>
      <w:r w:rsidR="00884B89">
        <w:rPr>
          <w:rFonts w:ascii="Arial" w:hAnsi="Arial" w:cs="Arial"/>
          <w:sz w:val="20"/>
          <w:szCs w:val="20"/>
        </w:rPr>
        <w:t>E</w:t>
      </w:r>
      <w:r w:rsidR="00884B89" w:rsidRPr="00615011">
        <w:rPr>
          <w:rFonts w:ascii="Arial" w:hAnsi="Arial" w:cs="Arial"/>
          <w:sz w:val="20"/>
          <w:szCs w:val="20"/>
        </w:rPr>
        <w:t xml:space="preserve">conomique </w:t>
      </w:r>
      <w:r w:rsidRPr="00615011">
        <w:rPr>
          <w:rFonts w:ascii="Arial" w:hAnsi="Arial" w:cs="Arial"/>
          <w:sz w:val="20"/>
          <w:szCs w:val="20"/>
        </w:rPr>
        <w:t xml:space="preserve">(OCDE) </w:t>
      </w:r>
      <w:r w:rsidR="00AA6316" w:rsidRPr="00615011">
        <w:rPr>
          <w:rFonts w:ascii="Arial" w:hAnsi="Arial" w:cs="Arial"/>
          <w:sz w:val="20"/>
          <w:szCs w:val="20"/>
        </w:rPr>
        <w:t>prévoit une croissance de 4,5</w:t>
      </w:r>
      <w:r w:rsidR="00615011">
        <w:rPr>
          <w:rFonts w:ascii="Arial" w:hAnsi="Arial" w:cs="Arial"/>
          <w:sz w:val="20"/>
          <w:szCs w:val="20"/>
        </w:rPr>
        <w:t xml:space="preserve"> </w:t>
      </w:r>
      <w:r w:rsidR="00AA6316" w:rsidRPr="00615011">
        <w:rPr>
          <w:rFonts w:ascii="Arial" w:hAnsi="Arial" w:cs="Arial"/>
          <w:sz w:val="20"/>
          <w:szCs w:val="20"/>
        </w:rPr>
        <w:t>% en 2022,</w:t>
      </w:r>
      <w:r w:rsidR="00F4629A" w:rsidRPr="00615011">
        <w:rPr>
          <w:rFonts w:ascii="Arial" w:hAnsi="Arial" w:cs="Arial"/>
          <w:sz w:val="20"/>
          <w:szCs w:val="20"/>
        </w:rPr>
        <w:t xml:space="preserve"> après </w:t>
      </w:r>
      <w:r w:rsidR="00AA6316" w:rsidRPr="00615011">
        <w:rPr>
          <w:rFonts w:ascii="Arial" w:hAnsi="Arial" w:cs="Arial"/>
          <w:sz w:val="20"/>
          <w:szCs w:val="20"/>
        </w:rPr>
        <w:t>un rebond de 5,6</w:t>
      </w:r>
      <w:r w:rsidR="00615011">
        <w:rPr>
          <w:rFonts w:ascii="Arial" w:hAnsi="Arial" w:cs="Arial"/>
          <w:sz w:val="20"/>
          <w:szCs w:val="20"/>
        </w:rPr>
        <w:t xml:space="preserve"> </w:t>
      </w:r>
      <w:r w:rsidR="00AA6316" w:rsidRPr="00615011">
        <w:rPr>
          <w:rFonts w:ascii="Arial" w:hAnsi="Arial" w:cs="Arial"/>
          <w:sz w:val="20"/>
          <w:szCs w:val="20"/>
        </w:rPr>
        <w:t xml:space="preserve">% en 2021 et </w:t>
      </w:r>
      <w:r w:rsidR="00615011" w:rsidRPr="00615011">
        <w:rPr>
          <w:rFonts w:ascii="Arial" w:hAnsi="Arial" w:cs="Arial"/>
          <w:sz w:val="20"/>
          <w:szCs w:val="20"/>
        </w:rPr>
        <w:t>avant de ralentir pour s’établir à 3,2 %</w:t>
      </w:r>
      <w:r w:rsidR="00F4629A" w:rsidRPr="00615011">
        <w:rPr>
          <w:rFonts w:ascii="Arial" w:hAnsi="Arial" w:cs="Arial"/>
          <w:sz w:val="20"/>
          <w:szCs w:val="20"/>
        </w:rPr>
        <w:t xml:space="preserve"> </w:t>
      </w:r>
      <w:r w:rsidR="00615011" w:rsidRPr="00615011">
        <w:rPr>
          <w:rFonts w:ascii="Arial" w:hAnsi="Arial" w:cs="Arial"/>
          <w:sz w:val="20"/>
          <w:szCs w:val="20"/>
        </w:rPr>
        <w:t>en 2023.</w:t>
      </w:r>
      <w:r w:rsidR="00AA6316" w:rsidRPr="00615011">
        <w:rPr>
          <w:rFonts w:ascii="Arial" w:hAnsi="Arial" w:cs="Arial"/>
          <w:sz w:val="20"/>
          <w:szCs w:val="20"/>
        </w:rPr>
        <w:t xml:space="preserve"> </w:t>
      </w:r>
      <w:r w:rsidR="00615011" w:rsidRPr="00615011">
        <w:rPr>
          <w:rFonts w:ascii="Arial" w:hAnsi="Arial" w:cs="Arial"/>
          <w:sz w:val="20"/>
          <w:szCs w:val="20"/>
        </w:rPr>
        <w:t xml:space="preserve">Le </w:t>
      </w:r>
      <w:r w:rsidR="00AA6316" w:rsidRPr="00615011">
        <w:rPr>
          <w:rFonts w:ascii="Arial" w:hAnsi="Arial" w:cs="Arial"/>
          <w:sz w:val="20"/>
          <w:szCs w:val="20"/>
        </w:rPr>
        <w:t xml:space="preserve">scénario central </w:t>
      </w:r>
      <w:r w:rsidR="00615011" w:rsidRPr="00615011">
        <w:rPr>
          <w:rFonts w:ascii="Arial" w:hAnsi="Arial" w:cs="Arial"/>
          <w:sz w:val="20"/>
          <w:szCs w:val="20"/>
        </w:rPr>
        <w:t xml:space="preserve">de l’OCDE </w:t>
      </w:r>
      <w:r w:rsidR="00BC50C0">
        <w:rPr>
          <w:rFonts w:ascii="Arial" w:hAnsi="Arial" w:cs="Arial"/>
          <w:sz w:val="20"/>
          <w:szCs w:val="20"/>
        </w:rPr>
        <w:t>est basé sur une reprise mondiale dans</w:t>
      </w:r>
      <w:r w:rsidR="00AA6316" w:rsidRPr="00615011">
        <w:rPr>
          <w:rFonts w:ascii="Arial" w:hAnsi="Arial" w:cs="Arial"/>
          <w:sz w:val="20"/>
          <w:szCs w:val="20"/>
        </w:rPr>
        <w:t xml:space="preserve"> un monde mieux armé face à la pandémie et des politiques monétaire et budgétaire généralement en soutien</w:t>
      </w:r>
      <w:r w:rsidR="00AA6316" w:rsidRPr="00615011">
        <w:t xml:space="preserve"> tout au </w:t>
      </w:r>
      <w:r w:rsidR="00AA6316" w:rsidRPr="00615011">
        <w:rPr>
          <w:rFonts w:ascii="Arial" w:hAnsi="Arial" w:cs="Arial"/>
          <w:sz w:val="20"/>
          <w:szCs w:val="20"/>
        </w:rPr>
        <w:t xml:space="preserve">long de l’année 2022. </w:t>
      </w:r>
    </w:p>
    <w:p w14:paraId="67F0E7AA" w14:textId="77777777" w:rsidR="006B12AF" w:rsidRPr="00D23A9A" w:rsidRDefault="00A31C02" w:rsidP="00341501">
      <w:pPr>
        <w:jc w:val="both"/>
        <w:rPr>
          <w:rFonts w:ascii="Arial" w:hAnsi="Arial" w:cs="Arial"/>
          <w:sz w:val="20"/>
          <w:szCs w:val="20"/>
        </w:rPr>
      </w:pPr>
      <w:r w:rsidRPr="00D23A9A">
        <w:rPr>
          <w:rFonts w:ascii="Arial" w:hAnsi="Arial" w:cs="Arial"/>
          <w:sz w:val="20"/>
          <w:szCs w:val="20"/>
        </w:rPr>
        <w:t xml:space="preserve">Dans la zone euro, </w:t>
      </w:r>
      <w:r w:rsidR="00F4629A" w:rsidRPr="00D23A9A">
        <w:rPr>
          <w:rFonts w:ascii="Arial" w:hAnsi="Arial" w:cs="Arial"/>
          <w:sz w:val="20"/>
          <w:szCs w:val="20"/>
        </w:rPr>
        <w:t>les prévisions de la Commission européenne</w:t>
      </w:r>
      <w:r w:rsidR="00615011" w:rsidRPr="00D23A9A">
        <w:rPr>
          <w:rFonts w:ascii="Arial" w:hAnsi="Arial" w:cs="Arial"/>
          <w:sz w:val="20"/>
          <w:szCs w:val="20"/>
        </w:rPr>
        <w:t xml:space="preserve"> annoncent que l'économie va enregistrer </w:t>
      </w:r>
      <w:r w:rsidR="00DF189C">
        <w:rPr>
          <w:rFonts w:ascii="Arial" w:hAnsi="Arial" w:cs="Arial"/>
          <w:sz w:val="20"/>
          <w:szCs w:val="20"/>
        </w:rPr>
        <w:t>un taux</w:t>
      </w:r>
      <w:r w:rsidR="00615011" w:rsidRPr="00D23A9A">
        <w:rPr>
          <w:rFonts w:ascii="Arial" w:hAnsi="Arial" w:cs="Arial"/>
          <w:sz w:val="20"/>
          <w:szCs w:val="20"/>
        </w:rPr>
        <w:t xml:space="preserve"> de</w:t>
      </w:r>
      <w:r w:rsidR="00A650BD">
        <w:rPr>
          <w:rFonts w:ascii="Arial" w:hAnsi="Arial" w:cs="Arial"/>
          <w:sz w:val="20"/>
          <w:szCs w:val="20"/>
        </w:rPr>
        <w:t xml:space="preserve"> croissance de </w:t>
      </w:r>
      <w:r w:rsidR="00615011" w:rsidRPr="00D23A9A">
        <w:rPr>
          <w:rFonts w:ascii="Arial" w:hAnsi="Arial" w:cs="Arial"/>
          <w:sz w:val="20"/>
          <w:szCs w:val="20"/>
        </w:rPr>
        <w:t>5% en 2021, de 4,3 % en 2022 et 2,4% en 2023</w:t>
      </w:r>
      <w:r w:rsidR="00595A28" w:rsidRPr="00D23A9A">
        <w:t xml:space="preserve">, </w:t>
      </w:r>
      <w:r w:rsidR="00595A28" w:rsidRPr="00D23A9A">
        <w:rPr>
          <w:rFonts w:ascii="Arial" w:hAnsi="Arial" w:cs="Arial"/>
          <w:bCs/>
          <w:sz w:val="20"/>
          <w:szCs w:val="20"/>
        </w:rPr>
        <w:t>l'économie européenne renouant</w:t>
      </w:r>
      <w:r w:rsidR="001034AE" w:rsidRPr="00D23A9A">
        <w:rPr>
          <w:rFonts w:ascii="Arial" w:hAnsi="Arial" w:cs="Arial"/>
          <w:bCs/>
          <w:sz w:val="20"/>
          <w:szCs w:val="20"/>
        </w:rPr>
        <w:t xml:space="preserve"> avec l'expansion plus vite que prévu</w:t>
      </w:r>
      <w:r w:rsidR="00615011" w:rsidRPr="00D23A9A">
        <w:rPr>
          <w:rFonts w:ascii="Arial" w:hAnsi="Arial" w:cs="Arial"/>
          <w:sz w:val="20"/>
          <w:szCs w:val="20"/>
        </w:rPr>
        <w:t>.</w:t>
      </w:r>
    </w:p>
    <w:p w14:paraId="1FF44B30" w14:textId="77777777" w:rsidR="00DD0B88" w:rsidRPr="00AF4533" w:rsidRDefault="001D2ADA" w:rsidP="00DD0B88">
      <w:pPr>
        <w:jc w:val="both"/>
        <w:rPr>
          <w:rFonts w:ascii="Arial" w:hAnsi="Arial" w:cs="Arial"/>
          <w:bCs/>
          <w:sz w:val="20"/>
          <w:szCs w:val="20"/>
        </w:rPr>
      </w:pPr>
      <w:r w:rsidRPr="00AF4533">
        <w:rPr>
          <w:rFonts w:ascii="Arial" w:hAnsi="Arial" w:cs="Arial"/>
          <w:bCs/>
          <w:sz w:val="20"/>
          <w:szCs w:val="20"/>
        </w:rPr>
        <w:t>Au plan national,</w:t>
      </w:r>
      <w:r w:rsidR="00AF4533" w:rsidRPr="00AF4533">
        <w:rPr>
          <w:rFonts w:ascii="Arial" w:hAnsi="Arial" w:cs="Arial"/>
          <w:bCs/>
          <w:sz w:val="20"/>
          <w:szCs w:val="20"/>
        </w:rPr>
        <w:t xml:space="preserve"> </w:t>
      </w:r>
      <w:r w:rsidR="00AF4533">
        <w:rPr>
          <w:rFonts w:ascii="Arial" w:hAnsi="Arial" w:cs="Arial"/>
          <w:bCs/>
          <w:sz w:val="20"/>
          <w:szCs w:val="20"/>
        </w:rPr>
        <w:t>l</w:t>
      </w:r>
      <w:r w:rsidR="00AF4533" w:rsidRPr="00AF4533">
        <w:rPr>
          <w:rFonts w:ascii="Arial" w:hAnsi="Arial" w:cs="Arial"/>
          <w:bCs/>
          <w:sz w:val="20"/>
          <w:szCs w:val="20"/>
        </w:rPr>
        <w:t>’activité économique a retrouvé son niveau d’</w:t>
      </w:r>
      <w:proofErr w:type="spellStart"/>
      <w:r w:rsidR="00AF4533" w:rsidRPr="00AF4533">
        <w:rPr>
          <w:rFonts w:ascii="Arial" w:hAnsi="Arial" w:cs="Arial"/>
          <w:bCs/>
          <w:sz w:val="20"/>
          <w:szCs w:val="20"/>
        </w:rPr>
        <w:t>avant-crise</w:t>
      </w:r>
      <w:proofErr w:type="spellEnd"/>
      <w:r w:rsidR="00AF4533" w:rsidRPr="00AF4533">
        <w:rPr>
          <w:rFonts w:ascii="Arial" w:hAnsi="Arial" w:cs="Arial"/>
          <w:bCs/>
          <w:sz w:val="20"/>
          <w:szCs w:val="20"/>
        </w:rPr>
        <w:t xml:space="preserve"> dès le troisième trimestre et la reprise 2021 est solide. La croissance du PIB atteindrait 6,7 % en 2021 en moyenne annuelle, puis encore 3,6 % en 2022 et 2,2 % en 2023, avant un retour sur un rythme nettement plus faible à seulement 1,4 % en 2024 (s</w:t>
      </w:r>
      <w:r w:rsidR="00BE0EF4" w:rsidRPr="00AF4533">
        <w:rPr>
          <w:rFonts w:ascii="Arial" w:hAnsi="Arial" w:cs="Arial"/>
          <w:bCs/>
          <w:sz w:val="20"/>
          <w:szCs w:val="20"/>
        </w:rPr>
        <w:t xml:space="preserve">ource : projections macroéconomiques, Banque de </w:t>
      </w:r>
      <w:r w:rsidR="00310E4A" w:rsidRPr="00AF4533">
        <w:rPr>
          <w:rFonts w:ascii="Arial" w:hAnsi="Arial" w:cs="Arial"/>
          <w:bCs/>
          <w:sz w:val="20"/>
          <w:szCs w:val="20"/>
        </w:rPr>
        <w:t>France,</w:t>
      </w:r>
      <w:r w:rsidR="00AF4533" w:rsidRPr="00AF4533">
        <w:rPr>
          <w:rFonts w:ascii="Arial" w:hAnsi="Arial" w:cs="Arial"/>
          <w:bCs/>
          <w:sz w:val="20"/>
          <w:szCs w:val="20"/>
        </w:rPr>
        <w:t xml:space="preserve"> décembre 2021</w:t>
      </w:r>
      <w:r w:rsidR="00BE0EF4" w:rsidRPr="00AF4533">
        <w:rPr>
          <w:rFonts w:ascii="Arial" w:hAnsi="Arial" w:cs="Arial"/>
          <w:bCs/>
          <w:sz w:val="20"/>
          <w:szCs w:val="20"/>
        </w:rPr>
        <w:t>).</w:t>
      </w:r>
    </w:p>
    <w:p w14:paraId="79F52F86" w14:textId="77777777" w:rsidR="00BD1ED5" w:rsidRDefault="00021BDF" w:rsidP="001D2ADA">
      <w:pPr>
        <w:jc w:val="both"/>
        <w:rPr>
          <w:rFonts w:ascii="Arial" w:hAnsi="Arial" w:cs="Arial"/>
          <w:sz w:val="20"/>
          <w:szCs w:val="20"/>
        </w:rPr>
      </w:pPr>
      <w:r>
        <w:rPr>
          <w:rFonts w:ascii="Arial" w:hAnsi="Arial" w:cs="Arial"/>
          <w:sz w:val="20"/>
          <w:szCs w:val="20"/>
        </w:rPr>
        <w:t>Le poids des dettes publiques dans les PIB des pays a fortement cru</w:t>
      </w:r>
      <w:r w:rsidR="00BC50C0">
        <w:rPr>
          <w:rFonts w:ascii="Arial" w:hAnsi="Arial" w:cs="Arial"/>
          <w:sz w:val="20"/>
          <w:szCs w:val="20"/>
        </w:rPr>
        <w:t xml:space="preserve">. </w:t>
      </w:r>
      <w:r w:rsidR="001A344B" w:rsidRPr="00AF4533">
        <w:rPr>
          <w:rFonts w:ascii="Arial" w:hAnsi="Arial" w:cs="Arial"/>
          <w:sz w:val="20"/>
          <w:szCs w:val="20"/>
        </w:rPr>
        <w:t>Le</w:t>
      </w:r>
      <w:r w:rsidR="0049359F" w:rsidRPr="00AF4533">
        <w:rPr>
          <w:rFonts w:ascii="Arial" w:hAnsi="Arial" w:cs="Arial"/>
          <w:sz w:val="20"/>
          <w:szCs w:val="20"/>
        </w:rPr>
        <w:t xml:space="preserve"> creusemen</w:t>
      </w:r>
      <w:r w:rsidR="001A344B" w:rsidRPr="00AF4533">
        <w:rPr>
          <w:rFonts w:ascii="Arial" w:hAnsi="Arial" w:cs="Arial"/>
          <w:sz w:val="20"/>
          <w:szCs w:val="20"/>
        </w:rPr>
        <w:t>t des déficits publics constitu</w:t>
      </w:r>
      <w:r w:rsidR="00AF4533" w:rsidRPr="00AF4533">
        <w:rPr>
          <w:rFonts w:ascii="Arial" w:hAnsi="Arial" w:cs="Arial"/>
          <w:sz w:val="20"/>
          <w:szCs w:val="20"/>
        </w:rPr>
        <w:t>e</w:t>
      </w:r>
      <w:r w:rsidR="0049359F" w:rsidRPr="00AF4533">
        <w:rPr>
          <w:rFonts w:ascii="Arial" w:hAnsi="Arial" w:cs="Arial"/>
          <w:sz w:val="20"/>
          <w:szCs w:val="20"/>
        </w:rPr>
        <w:t xml:space="preserve"> une pression haussière sur les tau</w:t>
      </w:r>
      <w:r w:rsidR="001A344B" w:rsidRPr="00AF4533">
        <w:rPr>
          <w:rFonts w:ascii="Arial" w:hAnsi="Arial" w:cs="Arial"/>
          <w:sz w:val="20"/>
          <w:szCs w:val="20"/>
        </w:rPr>
        <w:t>x d’intérêt des emprunts d’Etat</w:t>
      </w:r>
      <w:r w:rsidR="00AF4533" w:rsidRPr="00AF4533">
        <w:rPr>
          <w:rFonts w:ascii="Arial" w:hAnsi="Arial" w:cs="Arial"/>
          <w:sz w:val="20"/>
          <w:szCs w:val="20"/>
        </w:rPr>
        <w:t xml:space="preserve"> et, </w:t>
      </w:r>
      <w:r w:rsidR="00BC50C0">
        <w:rPr>
          <w:rFonts w:ascii="Arial" w:hAnsi="Arial" w:cs="Arial"/>
          <w:sz w:val="20"/>
          <w:szCs w:val="20"/>
        </w:rPr>
        <w:t xml:space="preserve">si </w:t>
      </w:r>
      <w:r w:rsidR="00AF4533" w:rsidRPr="00AF4533">
        <w:rPr>
          <w:rFonts w:ascii="Arial" w:hAnsi="Arial" w:cs="Arial"/>
          <w:sz w:val="20"/>
          <w:szCs w:val="20"/>
        </w:rPr>
        <w:t xml:space="preserve">le soutien monétaire procuré par les banques centrales </w:t>
      </w:r>
      <w:r w:rsidR="00BC50C0">
        <w:rPr>
          <w:rFonts w:ascii="Arial" w:hAnsi="Arial" w:cs="Arial"/>
          <w:sz w:val="20"/>
          <w:szCs w:val="20"/>
        </w:rPr>
        <w:t>s’atténue un peu</w:t>
      </w:r>
      <w:r w:rsidR="00AF4533" w:rsidRPr="00AF4533">
        <w:rPr>
          <w:rFonts w:ascii="Arial" w:hAnsi="Arial" w:cs="Arial"/>
          <w:sz w:val="20"/>
          <w:szCs w:val="20"/>
        </w:rPr>
        <w:t xml:space="preserve"> dans les mois à venir, les taux d’in</w:t>
      </w:r>
      <w:r w:rsidR="00BC50C0">
        <w:rPr>
          <w:rFonts w:ascii="Arial" w:hAnsi="Arial" w:cs="Arial"/>
          <w:sz w:val="20"/>
          <w:szCs w:val="20"/>
        </w:rPr>
        <w:t xml:space="preserve">térêt </w:t>
      </w:r>
      <w:r w:rsidR="00884B89">
        <w:rPr>
          <w:rFonts w:ascii="Arial" w:hAnsi="Arial" w:cs="Arial"/>
          <w:sz w:val="20"/>
          <w:szCs w:val="20"/>
        </w:rPr>
        <w:t xml:space="preserve">du </w:t>
      </w:r>
      <w:r w:rsidR="00BC50C0">
        <w:rPr>
          <w:rFonts w:ascii="Arial" w:hAnsi="Arial" w:cs="Arial"/>
          <w:sz w:val="20"/>
          <w:szCs w:val="20"/>
        </w:rPr>
        <w:t xml:space="preserve">marché pourraient </w:t>
      </w:r>
      <w:r w:rsidR="00AF4533" w:rsidRPr="00AF4533">
        <w:rPr>
          <w:rFonts w:ascii="Arial" w:hAnsi="Arial" w:cs="Arial"/>
          <w:sz w:val="20"/>
          <w:szCs w:val="20"/>
        </w:rPr>
        <w:t>légèrement augmenter</w:t>
      </w:r>
      <w:r w:rsidR="001A344B" w:rsidRPr="00AF4533">
        <w:rPr>
          <w:rFonts w:ascii="Arial" w:hAnsi="Arial" w:cs="Arial"/>
          <w:sz w:val="20"/>
          <w:szCs w:val="20"/>
        </w:rPr>
        <w:t xml:space="preserve"> </w:t>
      </w:r>
      <w:r w:rsidR="00AF4533" w:rsidRPr="00AF4533">
        <w:rPr>
          <w:rFonts w:ascii="Arial" w:hAnsi="Arial" w:cs="Arial"/>
          <w:sz w:val="20"/>
          <w:szCs w:val="20"/>
        </w:rPr>
        <w:t>(s</w:t>
      </w:r>
      <w:r w:rsidR="00310E4A" w:rsidRPr="00AF4533">
        <w:rPr>
          <w:rFonts w:ascii="Arial" w:hAnsi="Arial" w:cs="Arial"/>
          <w:sz w:val="20"/>
          <w:szCs w:val="20"/>
        </w:rPr>
        <w:t xml:space="preserve">ource : </w:t>
      </w:r>
      <w:r w:rsidR="00423D0B" w:rsidRPr="00AF4533">
        <w:rPr>
          <w:rFonts w:ascii="Arial" w:hAnsi="Arial" w:cs="Arial"/>
          <w:sz w:val="20"/>
          <w:szCs w:val="20"/>
        </w:rPr>
        <w:t>note de conjoncture</w:t>
      </w:r>
      <w:r w:rsidR="00310E4A" w:rsidRPr="00AF4533">
        <w:rPr>
          <w:rFonts w:ascii="Arial" w:hAnsi="Arial" w:cs="Arial"/>
          <w:sz w:val="20"/>
          <w:szCs w:val="20"/>
        </w:rPr>
        <w:t>,</w:t>
      </w:r>
      <w:r w:rsidR="00AF4533" w:rsidRPr="00AF4533">
        <w:rPr>
          <w:rFonts w:ascii="Arial" w:hAnsi="Arial" w:cs="Arial"/>
          <w:sz w:val="20"/>
          <w:szCs w:val="20"/>
        </w:rPr>
        <w:t xml:space="preserve"> tendances 2021</w:t>
      </w:r>
      <w:r w:rsidR="00423D0B" w:rsidRPr="00AF4533">
        <w:rPr>
          <w:rFonts w:ascii="Arial" w:hAnsi="Arial" w:cs="Arial"/>
          <w:sz w:val="20"/>
          <w:szCs w:val="20"/>
        </w:rPr>
        <w:t xml:space="preserve"> par niveau de collectivités locales,</w:t>
      </w:r>
      <w:r w:rsidR="00310E4A" w:rsidRPr="00AF4533">
        <w:rPr>
          <w:rFonts w:ascii="Arial" w:hAnsi="Arial" w:cs="Arial"/>
          <w:sz w:val="20"/>
          <w:szCs w:val="20"/>
        </w:rPr>
        <w:t xml:space="preserve"> La Banque postale, </w:t>
      </w:r>
      <w:r w:rsidR="00AF4533" w:rsidRPr="00AF4533">
        <w:rPr>
          <w:rFonts w:ascii="Arial" w:hAnsi="Arial" w:cs="Arial"/>
          <w:sz w:val="20"/>
          <w:szCs w:val="20"/>
        </w:rPr>
        <w:t>octobre 2021</w:t>
      </w:r>
      <w:r w:rsidR="00310E4A" w:rsidRPr="00AF4533">
        <w:rPr>
          <w:rFonts w:ascii="Arial" w:hAnsi="Arial" w:cs="Arial"/>
          <w:sz w:val="20"/>
          <w:szCs w:val="20"/>
        </w:rPr>
        <w:t>)</w:t>
      </w:r>
      <w:r w:rsidR="00BD1ED5" w:rsidRPr="00AF4533">
        <w:rPr>
          <w:rFonts w:ascii="Arial" w:hAnsi="Arial" w:cs="Arial"/>
          <w:sz w:val="20"/>
          <w:szCs w:val="20"/>
        </w:rPr>
        <w:t>.</w:t>
      </w:r>
    </w:p>
    <w:p w14:paraId="4E2D25A2" w14:textId="77777777" w:rsidR="00AF4533" w:rsidRPr="00AF4533" w:rsidRDefault="00AF4533" w:rsidP="001D2ADA">
      <w:pPr>
        <w:jc w:val="both"/>
        <w:rPr>
          <w:rFonts w:ascii="Arial" w:hAnsi="Arial" w:cs="Arial"/>
          <w:sz w:val="20"/>
          <w:szCs w:val="20"/>
        </w:rPr>
      </w:pPr>
      <w:r>
        <w:rPr>
          <w:rFonts w:ascii="Arial" w:hAnsi="Arial" w:cs="Arial"/>
          <w:sz w:val="20"/>
          <w:szCs w:val="20"/>
        </w:rPr>
        <w:t xml:space="preserve">Enfin, </w:t>
      </w:r>
      <w:r w:rsidR="00C3780B">
        <w:rPr>
          <w:rFonts w:ascii="Arial" w:hAnsi="Arial" w:cs="Arial"/>
          <w:sz w:val="20"/>
          <w:szCs w:val="20"/>
        </w:rPr>
        <w:t xml:space="preserve">la période est marquée par </w:t>
      </w:r>
      <w:r>
        <w:rPr>
          <w:rFonts w:ascii="Arial" w:hAnsi="Arial" w:cs="Arial"/>
          <w:sz w:val="20"/>
          <w:szCs w:val="20"/>
        </w:rPr>
        <w:t>la rés</w:t>
      </w:r>
      <w:r w:rsidR="00C3780B">
        <w:rPr>
          <w:rFonts w:ascii="Arial" w:hAnsi="Arial" w:cs="Arial"/>
          <w:sz w:val="20"/>
          <w:szCs w:val="20"/>
        </w:rPr>
        <w:t>urgence de</w:t>
      </w:r>
      <w:r>
        <w:rPr>
          <w:rFonts w:ascii="Arial" w:hAnsi="Arial" w:cs="Arial"/>
          <w:sz w:val="20"/>
          <w:szCs w:val="20"/>
        </w:rPr>
        <w:t xml:space="preserve"> tension</w:t>
      </w:r>
      <w:r w:rsidR="00C3780B">
        <w:rPr>
          <w:rFonts w:ascii="Arial" w:hAnsi="Arial" w:cs="Arial"/>
          <w:sz w:val="20"/>
          <w:szCs w:val="20"/>
        </w:rPr>
        <w:t>s inflationnistes en raison du niveau élevé des prix de l’énergie et des difficultés d’approvisionnement</w:t>
      </w:r>
      <w:r w:rsidR="00C3780B" w:rsidRPr="00C3780B">
        <w:rPr>
          <w:rFonts w:ascii="Arial" w:hAnsi="Arial" w:cs="Arial"/>
          <w:sz w:val="20"/>
          <w:szCs w:val="20"/>
        </w:rPr>
        <w:t xml:space="preserve"> dans les chaînes de production</w:t>
      </w:r>
      <w:r w:rsidR="00C3780B">
        <w:rPr>
          <w:rFonts w:ascii="Arial" w:hAnsi="Arial" w:cs="Arial"/>
          <w:sz w:val="20"/>
          <w:szCs w:val="20"/>
        </w:rPr>
        <w:t xml:space="preserve"> de certains biens.</w:t>
      </w:r>
    </w:p>
    <w:p w14:paraId="35099EBB" w14:textId="77777777" w:rsidR="00C3780B" w:rsidRDefault="00C3780B" w:rsidP="001D2ADA">
      <w:pPr>
        <w:jc w:val="both"/>
      </w:pPr>
    </w:p>
    <w:p w14:paraId="4D1B2E78" w14:textId="77777777" w:rsidR="006953D9" w:rsidRPr="00FE5EE8" w:rsidRDefault="006953D9" w:rsidP="001D2ADA">
      <w:pPr>
        <w:jc w:val="both"/>
        <w:rPr>
          <w:rFonts w:ascii="Arial" w:hAnsi="Arial" w:cs="Arial"/>
          <w:b/>
          <w:sz w:val="20"/>
          <w:szCs w:val="20"/>
        </w:rPr>
      </w:pPr>
      <w:r w:rsidRPr="00FE5EE8">
        <w:rPr>
          <w:rFonts w:ascii="Arial" w:hAnsi="Arial" w:cs="Arial"/>
          <w:b/>
          <w:sz w:val="20"/>
          <w:szCs w:val="20"/>
        </w:rPr>
        <w:t xml:space="preserve">2 </w:t>
      </w:r>
      <w:r w:rsidR="003F5E93" w:rsidRPr="00FE5EE8">
        <w:rPr>
          <w:rFonts w:ascii="Arial" w:hAnsi="Arial" w:cs="Arial"/>
          <w:b/>
          <w:sz w:val="20"/>
          <w:szCs w:val="20"/>
        </w:rPr>
        <w:t>–</w:t>
      </w:r>
      <w:r w:rsidR="001E01ED">
        <w:rPr>
          <w:rFonts w:ascii="Arial" w:hAnsi="Arial" w:cs="Arial"/>
          <w:b/>
          <w:sz w:val="20"/>
          <w:szCs w:val="20"/>
        </w:rPr>
        <w:t xml:space="preserve"> </w:t>
      </w:r>
      <w:r w:rsidR="003F5E93" w:rsidRPr="00FE5EE8">
        <w:rPr>
          <w:rFonts w:ascii="Arial" w:hAnsi="Arial" w:cs="Arial"/>
          <w:b/>
          <w:sz w:val="20"/>
          <w:szCs w:val="20"/>
        </w:rPr>
        <w:t>Le contexte des finances publiques</w:t>
      </w:r>
    </w:p>
    <w:p w14:paraId="26D296D3" w14:textId="77777777" w:rsidR="00AE6CD2" w:rsidRPr="00AE6CD2" w:rsidRDefault="00EB3B08" w:rsidP="00B72343">
      <w:pPr>
        <w:jc w:val="both"/>
        <w:rPr>
          <w:rFonts w:ascii="Arial" w:hAnsi="Arial" w:cs="Arial"/>
          <w:sz w:val="20"/>
          <w:szCs w:val="20"/>
        </w:rPr>
      </w:pPr>
      <w:r w:rsidRPr="00AE6CD2">
        <w:rPr>
          <w:rFonts w:ascii="Arial" w:hAnsi="Arial" w:cs="Arial"/>
          <w:sz w:val="20"/>
          <w:szCs w:val="20"/>
        </w:rPr>
        <w:t>Le pro</w:t>
      </w:r>
      <w:r w:rsidR="00AE6CD2" w:rsidRPr="00AE6CD2">
        <w:rPr>
          <w:rFonts w:ascii="Arial" w:hAnsi="Arial" w:cs="Arial"/>
          <w:sz w:val="20"/>
          <w:szCs w:val="20"/>
        </w:rPr>
        <w:t xml:space="preserve">jet de loi de finances </w:t>
      </w:r>
      <w:r w:rsidR="00C55264">
        <w:rPr>
          <w:rFonts w:ascii="Arial" w:hAnsi="Arial" w:cs="Arial"/>
          <w:sz w:val="20"/>
          <w:szCs w:val="20"/>
        </w:rPr>
        <w:t xml:space="preserve">(PLF) </w:t>
      </w:r>
      <w:r w:rsidR="00AE6CD2" w:rsidRPr="00AE6CD2">
        <w:rPr>
          <w:rFonts w:ascii="Arial" w:hAnsi="Arial" w:cs="Arial"/>
          <w:sz w:val="20"/>
          <w:szCs w:val="20"/>
        </w:rPr>
        <w:t>pour 2022</w:t>
      </w:r>
      <w:r w:rsidR="0094532F">
        <w:rPr>
          <w:rFonts w:ascii="Arial" w:hAnsi="Arial" w:cs="Arial"/>
          <w:sz w:val="20"/>
          <w:szCs w:val="20"/>
        </w:rPr>
        <w:t xml:space="preserve"> s’inscrit dans la continuité de la loi de finances pour 2021 et il</w:t>
      </w:r>
      <w:r w:rsidR="00AE6CD2" w:rsidRPr="00AE6CD2">
        <w:rPr>
          <w:rFonts w:ascii="Arial" w:hAnsi="Arial" w:cs="Arial"/>
          <w:sz w:val="20"/>
          <w:szCs w:val="20"/>
        </w:rPr>
        <w:t xml:space="preserve"> repose sur les données macro-économiques suivantes :</w:t>
      </w:r>
    </w:p>
    <w:p w14:paraId="77F0DF56" w14:textId="77777777" w:rsidR="006C5921" w:rsidRPr="00AE6CD2" w:rsidRDefault="00AE6CD2" w:rsidP="00AE6CD2">
      <w:pPr>
        <w:pStyle w:val="Paragraphedeliste"/>
        <w:numPr>
          <w:ilvl w:val="0"/>
          <w:numId w:val="9"/>
        </w:numPr>
        <w:jc w:val="both"/>
        <w:rPr>
          <w:rFonts w:ascii="Arial" w:hAnsi="Arial" w:cs="Arial"/>
          <w:sz w:val="20"/>
          <w:szCs w:val="20"/>
        </w:rPr>
      </w:pPr>
      <w:r w:rsidRPr="00AE6CD2">
        <w:rPr>
          <w:rFonts w:ascii="Arial" w:hAnsi="Arial" w:cs="Arial"/>
          <w:sz w:val="20"/>
          <w:szCs w:val="20"/>
        </w:rPr>
        <w:t>Une croissance</w:t>
      </w:r>
      <w:r w:rsidR="003C3C55">
        <w:rPr>
          <w:rFonts w:ascii="Arial" w:hAnsi="Arial" w:cs="Arial"/>
          <w:sz w:val="20"/>
          <w:szCs w:val="20"/>
        </w:rPr>
        <w:t xml:space="preserve"> du PIB de 4% </w:t>
      </w:r>
      <w:r w:rsidR="00CC05E4">
        <w:rPr>
          <w:rFonts w:ascii="Arial" w:hAnsi="Arial" w:cs="Arial"/>
          <w:sz w:val="20"/>
          <w:szCs w:val="20"/>
        </w:rPr>
        <w:t xml:space="preserve">en 2022 </w:t>
      </w:r>
      <w:r w:rsidR="003C3C55">
        <w:rPr>
          <w:rFonts w:ascii="Arial" w:hAnsi="Arial" w:cs="Arial"/>
          <w:sz w:val="20"/>
          <w:szCs w:val="20"/>
        </w:rPr>
        <w:t>après un rebond d</w:t>
      </w:r>
      <w:r w:rsidR="00C3780B">
        <w:rPr>
          <w:rFonts w:ascii="Arial" w:hAnsi="Arial" w:cs="Arial"/>
          <w:sz w:val="20"/>
          <w:szCs w:val="20"/>
        </w:rPr>
        <w:t>e</w:t>
      </w:r>
      <w:r w:rsidRPr="00AE6CD2">
        <w:rPr>
          <w:rFonts w:ascii="Arial" w:hAnsi="Arial" w:cs="Arial"/>
          <w:sz w:val="20"/>
          <w:szCs w:val="20"/>
        </w:rPr>
        <w:t xml:space="preserve"> 6</w:t>
      </w:r>
      <w:r w:rsidR="00C3780B">
        <w:rPr>
          <w:rFonts w:ascii="Arial" w:hAnsi="Arial" w:cs="Arial"/>
          <w:sz w:val="20"/>
          <w:szCs w:val="20"/>
        </w:rPr>
        <w:t>,7</w:t>
      </w:r>
      <w:r w:rsidRPr="00AE6CD2">
        <w:rPr>
          <w:rFonts w:ascii="Arial" w:hAnsi="Arial" w:cs="Arial"/>
          <w:sz w:val="20"/>
          <w:szCs w:val="20"/>
        </w:rPr>
        <w:t xml:space="preserve">% en 2021 qui faisait suite à une chute historique de </w:t>
      </w:r>
      <w:r w:rsidR="00420E0F">
        <w:rPr>
          <w:rFonts w:ascii="Arial" w:hAnsi="Arial" w:cs="Arial"/>
          <w:sz w:val="20"/>
          <w:szCs w:val="20"/>
        </w:rPr>
        <w:t>7,9</w:t>
      </w:r>
      <w:r w:rsidRPr="00AE6CD2">
        <w:rPr>
          <w:rFonts w:ascii="Arial" w:hAnsi="Arial" w:cs="Arial"/>
          <w:sz w:val="20"/>
          <w:szCs w:val="20"/>
        </w:rPr>
        <w:t>% en 2020</w:t>
      </w:r>
      <w:r w:rsidR="00BC50C0">
        <w:rPr>
          <w:rFonts w:ascii="Arial" w:hAnsi="Arial" w:cs="Arial"/>
          <w:sz w:val="20"/>
          <w:szCs w:val="20"/>
        </w:rPr>
        <w:t> ;</w:t>
      </w:r>
    </w:p>
    <w:p w14:paraId="6EB4D968" w14:textId="77777777" w:rsidR="006C5921" w:rsidRPr="00AE6CD2" w:rsidRDefault="00CC05E4" w:rsidP="006C5921">
      <w:pPr>
        <w:pStyle w:val="Paragraphedeliste"/>
        <w:numPr>
          <w:ilvl w:val="0"/>
          <w:numId w:val="9"/>
        </w:numPr>
        <w:jc w:val="both"/>
        <w:rPr>
          <w:rFonts w:ascii="Arial" w:hAnsi="Arial" w:cs="Arial"/>
          <w:sz w:val="20"/>
          <w:szCs w:val="20"/>
        </w:rPr>
      </w:pPr>
      <w:r>
        <w:rPr>
          <w:rFonts w:ascii="Arial" w:hAnsi="Arial" w:cs="Arial"/>
          <w:sz w:val="20"/>
          <w:szCs w:val="20"/>
        </w:rPr>
        <w:t>Une inflation de 1,5% contre 1,5</w:t>
      </w:r>
      <w:r w:rsidR="00AE6CD2" w:rsidRPr="00AE6CD2">
        <w:rPr>
          <w:rFonts w:ascii="Arial" w:hAnsi="Arial" w:cs="Arial"/>
          <w:sz w:val="20"/>
          <w:szCs w:val="20"/>
        </w:rPr>
        <w:t>% en 2021</w:t>
      </w:r>
      <w:r>
        <w:rPr>
          <w:rFonts w:ascii="Arial" w:hAnsi="Arial" w:cs="Arial"/>
          <w:sz w:val="20"/>
          <w:szCs w:val="20"/>
        </w:rPr>
        <w:t xml:space="preserve"> et 0,5% en 2020</w:t>
      </w:r>
      <w:r w:rsidR="006C5921" w:rsidRPr="00AE6CD2">
        <w:rPr>
          <w:rFonts w:ascii="Arial" w:hAnsi="Arial" w:cs="Arial"/>
          <w:sz w:val="20"/>
          <w:szCs w:val="20"/>
        </w:rPr>
        <w:t> ;</w:t>
      </w:r>
    </w:p>
    <w:p w14:paraId="2B054BAA" w14:textId="77777777" w:rsidR="006C5921" w:rsidRPr="00AE6CD2" w:rsidRDefault="00AE6CD2" w:rsidP="006C5921">
      <w:pPr>
        <w:pStyle w:val="Paragraphedeliste"/>
        <w:numPr>
          <w:ilvl w:val="0"/>
          <w:numId w:val="9"/>
        </w:numPr>
        <w:jc w:val="both"/>
        <w:rPr>
          <w:rFonts w:ascii="Arial" w:hAnsi="Arial" w:cs="Arial"/>
          <w:sz w:val="20"/>
          <w:szCs w:val="20"/>
        </w:rPr>
      </w:pPr>
      <w:r w:rsidRPr="00AE6CD2">
        <w:rPr>
          <w:rFonts w:ascii="Arial" w:hAnsi="Arial" w:cs="Arial"/>
          <w:sz w:val="20"/>
          <w:szCs w:val="20"/>
        </w:rPr>
        <w:t>Un déficit public de 4,8% du PIB contre 8,4% en 2021</w:t>
      </w:r>
      <w:r w:rsidR="00CC05E4">
        <w:rPr>
          <w:rFonts w:ascii="Arial" w:hAnsi="Arial" w:cs="Arial"/>
          <w:sz w:val="20"/>
          <w:szCs w:val="20"/>
        </w:rPr>
        <w:t xml:space="preserve"> et 9,1% en 2020</w:t>
      </w:r>
      <w:r w:rsidR="006C5921" w:rsidRPr="00AE6CD2">
        <w:rPr>
          <w:rFonts w:ascii="Arial" w:hAnsi="Arial" w:cs="Arial"/>
          <w:sz w:val="20"/>
          <w:szCs w:val="20"/>
        </w:rPr>
        <w:t> ;</w:t>
      </w:r>
    </w:p>
    <w:p w14:paraId="05348D5B" w14:textId="77777777" w:rsidR="00AE6CD2" w:rsidRDefault="00AE6CD2" w:rsidP="006C5921">
      <w:pPr>
        <w:pStyle w:val="Paragraphedeliste"/>
        <w:numPr>
          <w:ilvl w:val="0"/>
          <w:numId w:val="9"/>
        </w:numPr>
        <w:jc w:val="both"/>
        <w:rPr>
          <w:rFonts w:ascii="Arial" w:hAnsi="Arial" w:cs="Arial"/>
          <w:sz w:val="20"/>
          <w:szCs w:val="20"/>
        </w:rPr>
      </w:pPr>
      <w:r>
        <w:rPr>
          <w:rFonts w:ascii="Arial" w:hAnsi="Arial" w:cs="Arial"/>
          <w:sz w:val="20"/>
          <w:szCs w:val="20"/>
        </w:rPr>
        <w:t>Une dette publique de 114% du PIB contre 115,6% en 2021 ;</w:t>
      </w:r>
    </w:p>
    <w:p w14:paraId="4C1F924E" w14:textId="77777777" w:rsidR="006C5921" w:rsidRPr="00AE6CD2" w:rsidRDefault="00AE6CD2" w:rsidP="006C5921">
      <w:pPr>
        <w:pStyle w:val="Paragraphedeliste"/>
        <w:numPr>
          <w:ilvl w:val="0"/>
          <w:numId w:val="9"/>
        </w:numPr>
        <w:jc w:val="both"/>
        <w:rPr>
          <w:rFonts w:ascii="Arial" w:hAnsi="Arial" w:cs="Arial"/>
          <w:sz w:val="20"/>
          <w:szCs w:val="20"/>
        </w:rPr>
      </w:pPr>
      <w:r>
        <w:rPr>
          <w:rFonts w:ascii="Arial" w:hAnsi="Arial" w:cs="Arial"/>
          <w:sz w:val="20"/>
          <w:szCs w:val="20"/>
        </w:rPr>
        <w:t>Des dépenses publiques représentant 55,6% du PIB contre 59,9%</w:t>
      </w:r>
      <w:r w:rsidR="00CC05E4">
        <w:rPr>
          <w:rFonts w:ascii="Arial" w:hAnsi="Arial" w:cs="Arial"/>
          <w:sz w:val="20"/>
          <w:szCs w:val="20"/>
        </w:rPr>
        <w:t xml:space="preserve"> </w:t>
      </w:r>
      <w:r>
        <w:rPr>
          <w:rFonts w:ascii="Arial" w:hAnsi="Arial" w:cs="Arial"/>
          <w:sz w:val="20"/>
          <w:szCs w:val="20"/>
        </w:rPr>
        <w:t>en 2021</w:t>
      </w:r>
      <w:r w:rsidR="006C5921" w:rsidRPr="00AE6CD2">
        <w:rPr>
          <w:rFonts w:ascii="Arial" w:hAnsi="Arial" w:cs="Arial"/>
          <w:sz w:val="20"/>
          <w:szCs w:val="20"/>
        </w:rPr>
        <w:t>.</w:t>
      </w:r>
    </w:p>
    <w:p w14:paraId="723CA7A7" w14:textId="77777777" w:rsidR="00512A8C" w:rsidRDefault="00C55264" w:rsidP="005009FA">
      <w:pPr>
        <w:jc w:val="both"/>
        <w:rPr>
          <w:rFonts w:ascii="Arial" w:hAnsi="Arial" w:cs="Arial"/>
          <w:sz w:val="16"/>
          <w:szCs w:val="16"/>
        </w:rPr>
      </w:pPr>
      <w:r w:rsidRPr="00C55264">
        <w:rPr>
          <w:rFonts w:ascii="Arial" w:hAnsi="Arial" w:cs="Arial"/>
          <w:sz w:val="20"/>
          <w:szCs w:val="20"/>
        </w:rPr>
        <w:t xml:space="preserve">Le projet de loi de finances pour 2022 ne prévoit </w:t>
      </w:r>
      <w:r w:rsidR="00DD52CB">
        <w:rPr>
          <w:rFonts w:ascii="Arial" w:hAnsi="Arial" w:cs="Arial"/>
          <w:sz w:val="20"/>
          <w:szCs w:val="20"/>
        </w:rPr>
        <w:t>pas de</w:t>
      </w:r>
      <w:r w:rsidRPr="00C55264">
        <w:rPr>
          <w:rFonts w:ascii="Arial" w:hAnsi="Arial" w:cs="Arial"/>
          <w:sz w:val="20"/>
          <w:szCs w:val="20"/>
        </w:rPr>
        <w:t xml:space="preserve"> réforme d’envergure pour les collectivités territoriales contrairement aux précédents.</w:t>
      </w:r>
      <w:r w:rsidR="003C3C55">
        <w:rPr>
          <w:rFonts w:ascii="Arial" w:hAnsi="Arial" w:cs="Arial"/>
          <w:sz w:val="20"/>
          <w:szCs w:val="20"/>
        </w:rPr>
        <w:t xml:space="preserve"> Il ne contient </w:t>
      </w:r>
      <w:r w:rsidR="00A017C4">
        <w:rPr>
          <w:rFonts w:ascii="Arial" w:hAnsi="Arial" w:cs="Arial"/>
          <w:sz w:val="20"/>
          <w:szCs w:val="20"/>
        </w:rPr>
        <w:t xml:space="preserve">notamment </w:t>
      </w:r>
      <w:r w:rsidR="003C3C55">
        <w:rPr>
          <w:rFonts w:ascii="Arial" w:hAnsi="Arial" w:cs="Arial"/>
          <w:sz w:val="20"/>
          <w:szCs w:val="20"/>
        </w:rPr>
        <w:t xml:space="preserve">aucune mesure d’association des collectivités au redressement des comptes publics bien que les comptes de l’Etat et de la sécurité sociale </w:t>
      </w:r>
      <w:r w:rsidR="00CF5AAB">
        <w:rPr>
          <w:rFonts w:ascii="Arial" w:hAnsi="Arial" w:cs="Arial"/>
          <w:sz w:val="20"/>
          <w:szCs w:val="20"/>
        </w:rPr>
        <w:t>aient</w:t>
      </w:r>
      <w:r w:rsidR="003C3C55">
        <w:rPr>
          <w:rFonts w:ascii="Arial" w:hAnsi="Arial" w:cs="Arial"/>
          <w:sz w:val="20"/>
          <w:szCs w:val="20"/>
        </w:rPr>
        <w:t xml:space="preserve"> été fortement impactés par la crise sanitaire (aggravation de la C</w:t>
      </w:r>
      <w:r w:rsidR="000E4068">
        <w:rPr>
          <w:rFonts w:ascii="Arial" w:hAnsi="Arial" w:cs="Arial"/>
          <w:sz w:val="20"/>
          <w:szCs w:val="20"/>
        </w:rPr>
        <w:t>AF</w:t>
      </w:r>
      <w:r w:rsidR="003C3C55">
        <w:rPr>
          <w:rFonts w:ascii="Arial" w:hAnsi="Arial" w:cs="Arial"/>
          <w:sz w:val="20"/>
          <w:szCs w:val="20"/>
        </w:rPr>
        <w:t xml:space="preserve"> négative</w:t>
      </w:r>
      <w:r w:rsidR="001C701A">
        <w:rPr>
          <w:rFonts w:ascii="Arial" w:hAnsi="Arial" w:cs="Arial"/>
          <w:sz w:val="20"/>
          <w:szCs w:val="20"/>
        </w:rPr>
        <w:t xml:space="preserve"> et</w:t>
      </w:r>
      <w:r w:rsidR="000E4068">
        <w:rPr>
          <w:rFonts w:ascii="Arial" w:hAnsi="Arial" w:cs="Arial"/>
          <w:sz w:val="20"/>
          <w:szCs w:val="20"/>
        </w:rPr>
        <w:t xml:space="preserve"> forte augmentation de l’endettement).</w:t>
      </w:r>
    </w:p>
    <w:p w14:paraId="1BF8B266" w14:textId="77777777" w:rsidR="008008DA" w:rsidRDefault="008008DA">
      <w:pPr>
        <w:rPr>
          <w:rFonts w:ascii="Arial" w:hAnsi="Arial" w:cs="Arial"/>
          <w:sz w:val="16"/>
          <w:szCs w:val="16"/>
        </w:rPr>
      </w:pPr>
      <w:r>
        <w:rPr>
          <w:rFonts w:ascii="Arial" w:hAnsi="Arial" w:cs="Arial"/>
          <w:sz w:val="16"/>
          <w:szCs w:val="16"/>
        </w:rPr>
        <w:br w:type="page"/>
      </w:r>
    </w:p>
    <w:p w14:paraId="2EE0A8EE" w14:textId="77777777" w:rsidR="00571FE1" w:rsidRPr="00DD52CB" w:rsidRDefault="00B477C7" w:rsidP="003B254A">
      <w:pPr>
        <w:rPr>
          <w:rFonts w:ascii="Arial" w:hAnsi="Arial" w:cs="Arial"/>
          <w:b/>
          <w:sz w:val="20"/>
          <w:szCs w:val="20"/>
        </w:rPr>
      </w:pPr>
      <w:r w:rsidRPr="00DD52CB">
        <w:rPr>
          <w:rFonts w:ascii="Arial" w:hAnsi="Arial" w:cs="Arial"/>
          <w:b/>
          <w:sz w:val="20"/>
          <w:szCs w:val="20"/>
        </w:rPr>
        <w:lastRenderedPageBreak/>
        <w:t xml:space="preserve">2 .1 – La </w:t>
      </w:r>
      <w:r w:rsidR="008B77DB" w:rsidRPr="00DD52CB">
        <w:rPr>
          <w:rFonts w:ascii="Arial" w:hAnsi="Arial" w:cs="Arial"/>
          <w:b/>
          <w:sz w:val="20"/>
          <w:szCs w:val="20"/>
        </w:rPr>
        <w:t xml:space="preserve">poursuite de la </w:t>
      </w:r>
      <w:r w:rsidRPr="00DD52CB">
        <w:rPr>
          <w:rFonts w:ascii="Arial" w:hAnsi="Arial" w:cs="Arial"/>
          <w:b/>
          <w:sz w:val="20"/>
          <w:szCs w:val="20"/>
        </w:rPr>
        <w:t>s</w:t>
      </w:r>
      <w:r w:rsidR="00762FB2" w:rsidRPr="00DD52CB">
        <w:rPr>
          <w:rFonts w:ascii="Arial" w:hAnsi="Arial" w:cs="Arial"/>
          <w:b/>
          <w:sz w:val="20"/>
          <w:szCs w:val="20"/>
        </w:rPr>
        <w:t xml:space="preserve">uppression de la taxe d’habitation sur les résidences principales et </w:t>
      </w:r>
      <w:r w:rsidR="00276164">
        <w:rPr>
          <w:rFonts w:ascii="Arial" w:hAnsi="Arial" w:cs="Arial"/>
          <w:b/>
          <w:sz w:val="20"/>
          <w:szCs w:val="20"/>
        </w:rPr>
        <w:t xml:space="preserve">la </w:t>
      </w:r>
      <w:r w:rsidR="00762FB2" w:rsidRPr="00DD52CB">
        <w:rPr>
          <w:rFonts w:ascii="Arial" w:hAnsi="Arial" w:cs="Arial"/>
          <w:b/>
          <w:sz w:val="20"/>
          <w:szCs w:val="20"/>
        </w:rPr>
        <w:t xml:space="preserve">réforme </w:t>
      </w:r>
      <w:r w:rsidR="00DD52CB" w:rsidRPr="00DD52CB">
        <w:rPr>
          <w:rFonts w:ascii="Arial" w:hAnsi="Arial" w:cs="Arial"/>
          <w:b/>
          <w:sz w:val="20"/>
          <w:szCs w:val="20"/>
        </w:rPr>
        <w:t>des indicateurs financiers</w:t>
      </w:r>
    </w:p>
    <w:p w14:paraId="7BBD7CF0" w14:textId="77777777" w:rsidR="001B4387" w:rsidRPr="001B4387" w:rsidRDefault="001B4387" w:rsidP="003B254A">
      <w:pPr>
        <w:jc w:val="both"/>
        <w:rPr>
          <w:rFonts w:ascii="Arial" w:hAnsi="Arial" w:cs="Arial"/>
          <w:color w:val="FF0000"/>
          <w:sz w:val="20"/>
          <w:szCs w:val="20"/>
        </w:rPr>
      </w:pPr>
      <w:r w:rsidRPr="001B4387">
        <w:rPr>
          <w:rFonts w:ascii="Arial" w:hAnsi="Arial" w:cs="Arial"/>
          <w:sz w:val="20"/>
          <w:szCs w:val="20"/>
        </w:rPr>
        <w:t xml:space="preserve">Pour mémoire, à compter de 2021, le produit de la taxe d’habitation </w:t>
      </w:r>
      <w:r w:rsidR="00DD43FB">
        <w:rPr>
          <w:rFonts w:ascii="Arial" w:hAnsi="Arial" w:cs="Arial"/>
          <w:sz w:val="20"/>
          <w:szCs w:val="20"/>
        </w:rPr>
        <w:t xml:space="preserve">(TH) </w:t>
      </w:r>
      <w:r w:rsidRPr="001B4387">
        <w:rPr>
          <w:rFonts w:ascii="Arial" w:hAnsi="Arial" w:cs="Arial"/>
          <w:sz w:val="20"/>
          <w:szCs w:val="20"/>
        </w:rPr>
        <w:t>sur les résidences principales est remplacé par la taxe sur le foncier bâti (TFPB) départementale</w:t>
      </w:r>
      <w:r>
        <w:rPr>
          <w:rFonts w:ascii="Arial" w:hAnsi="Arial" w:cs="Arial"/>
          <w:color w:val="FF0000"/>
          <w:sz w:val="20"/>
          <w:szCs w:val="20"/>
        </w:rPr>
        <w:t>.</w:t>
      </w:r>
      <w:r w:rsidRPr="001B4387">
        <w:rPr>
          <w:rFonts w:ascii="Arial" w:hAnsi="Arial" w:cs="Arial"/>
          <w:color w:val="FF0000"/>
          <w:sz w:val="20"/>
          <w:szCs w:val="20"/>
        </w:rPr>
        <w:t xml:space="preserve"> </w:t>
      </w:r>
    </w:p>
    <w:p w14:paraId="2F6EF228" w14:textId="77777777" w:rsidR="00634629" w:rsidRDefault="00634629" w:rsidP="00634629">
      <w:pPr>
        <w:autoSpaceDE w:val="0"/>
        <w:autoSpaceDN w:val="0"/>
        <w:adjustRightInd w:val="0"/>
        <w:jc w:val="both"/>
        <w:rPr>
          <w:rFonts w:ascii="Arial" w:hAnsi="Arial" w:cs="Arial"/>
          <w:sz w:val="20"/>
          <w:szCs w:val="20"/>
        </w:rPr>
      </w:pPr>
      <w:r>
        <w:rPr>
          <w:rFonts w:ascii="Arial" w:hAnsi="Arial" w:cs="Arial"/>
          <w:sz w:val="20"/>
          <w:szCs w:val="20"/>
        </w:rPr>
        <w:t xml:space="preserve">Pour maintenir un niveau constant de ressources, un mécanisme de neutralisation </w:t>
      </w:r>
      <w:r w:rsidR="00C8696D">
        <w:rPr>
          <w:rFonts w:ascii="Arial" w:hAnsi="Arial" w:cs="Arial"/>
          <w:sz w:val="20"/>
          <w:szCs w:val="20"/>
        </w:rPr>
        <w:t xml:space="preserve">a été </w:t>
      </w:r>
      <w:r>
        <w:rPr>
          <w:rFonts w:ascii="Arial" w:hAnsi="Arial" w:cs="Arial"/>
          <w:sz w:val="20"/>
          <w:szCs w:val="20"/>
        </w:rPr>
        <w:t>mis en place (le coefficient correcteur) qui permet de compenser ou de prélever à hauteur des écarts de produits entre la valeur de la TFB départementale transférée à la commune et la part de la TH supprimée.</w:t>
      </w:r>
    </w:p>
    <w:p w14:paraId="4E4CC2D2" w14:textId="77777777" w:rsidR="00237ECA" w:rsidRDefault="00634629" w:rsidP="003B254A">
      <w:pPr>
        <w:jc w:val="both"/>
        <w:rPr>
          <w:rFonts w:ascii="Arial" w:hAnsi="Arial" w:cs="Arial"/>
          <w:sz w:val="20"/>
          <w:szCs w:val="20"/>
        </w:rPr>
      </w:pPr>
      <w:r w:rsidRPr="007A330D">
        <w:rPr>
          <w:rFonts w:ascii="Arial" w:hAnsi="Arial" w:cs="Arial"/>
          <w:sz w:val="20"/>
          <w:szCs w:val="20"/>
        </w:rPr>
        <w:t xml:space="preserve">Avec un </w:t>
      </w:r>
      <w:r w:rsidR="007A330D" w:rsidRPr="007A330D">
        <w:rPr>
          <w:rFonts w:ascii="Arial" w:hAnsi="Arial" w:cs="Arial"/>
          <w:sz w:val="20"/>
          <w:szCs w:val="20"/>
        </w:rPr>
        <w:t>coefficient correcteur (</w:t>
      </w:r>
      <w:r w:rsidR="00B72848">
        <w:rPr>
          <w:rFonts w:ascii="Arial" w:hAnsi="Arial" w:cs="Arial"/>
          <w:sz w:val="20"/>
          <w:szCs w:val="20"/>
        </w:rPr>
        <w:t>communément appelé « </w:t>
      </w:r>
      <w:r w:rsidR="007A330D" w:rsidRPr="007A330D">
        <w:rPr>
          <w:rFonts w:ascii="Arial" w:hAnsi="Arial" w:cs="Arial"/>
          <w:sz w:val="20"/>
          <w:szCs w:val="20"/>
        </w:rPr>
        <w:t>coco</w:t>
      </w:r>
      <w:r w:rsidR="00B72848">
        <w:rPr>
          <w:rFonts w:ascii="Arial" w:hAnsi="Arial" w:cs="Arial"/>
          <w:sz w:val="20"/>
          <w:szCs w:val="20"/>
        </w:rPr>
        <w:t> »</w:t>
      </w:r>
      <w:r w:rsidR="007A330D" w:rsidRPr="007A330D">
        <w:rPr>
          <w:rFonts w:ascii="Arial" w:hAnsi="Arial" w:cs="Arial"/>
          <w:sz w:val="20"/>
          <w:szCs w:val="20"/>
        </w:rPr>
        <w:t>) de</w:t>
      </w:r>
      <w:r w:rsidR="00DD43FB">
        <w:rPr>
          <w:rFonts w:ascii="Arial" w:hAnsi="Arial" w:cs="Arial"/>
          <w:sz w:val="20"/>
          <w:szCs w:val="20"/>
        </w:rPr>
        <w:t xml:space="preserve"> 1,485823</w:t>
      </w:r>
      <w:r w:rsidR="007E454A">
        <w:rPr>
          <w:rFonts w:ascii="Arial" w:hAnsi="Arial" w:cs="Arial"/>
          <w:sz w:val="20"/>
          <w:szCs w:val="20"/>
        </w:rPr>
        <w:t>,</w:t>
      </w:r>
      <w:r w:rsidR="00DD43FB">
        <w:rPr>
          <w:rFonts w:ascii="Arial" w:hAnsi="Arial" w:cs="Arial"/>
          <w:sz w:val="20"/>
          <w:szCs w:val="20"/>
        </w:rPr>
        <w:t xml:space="preserve"> la commune est sous-compensée, c’est-à-dire qu’elle reçoit moins de TFB départementale qu’elle n’a perdu de TH sur les résidences principales</w:t>
      </w:r>
      <w:r w:rsidR="000407FD">
        <w:rPr>
          <w:rFonts w:ascii="Arial" w:hAnsi="Arial" w:cs="Arial"/>
          <w:sz w:val="20"/>
          <w:szCs w:val="20"/>
        </w:rPr>
        <w:t xml:space="preserve">, la compensation versée par l’Etat apportant </w:t>
      </w:r>
      <w:r w:rsidR="004E2532">
        <w:rPr>
          <w:rFonts w:ascii="Arial" w:hAnsi="Arial" w:cs="Arial"/>
          <w:sz w:val="20"/>
          <w:szCs w:val="20"/>
        </w:rPr>
        <w:t>le complément de ressource pour assurer la neutralité de la réforme.</w:t>
      </w:r>
      <w:r w:rsidR="00DD43FB">
        <w:rPr>
          <w:rFonts w:ascii="Arial" w:hAnsi="Arial" w:cs="Arial"/>
          <w:sz w:val="20"/>
          <w:szCs w:val="20"/>
        </w:rPr>
        <w:t xml:space="preserve"> </w:t>
      </w:r>
    </w:p>
    <w:p w14:paraId="71DAC768" w14:textId="77777777" w:rsidR="003B254A" w:rsidRPr="004E2532" w:rsidRDefault="004E2532" w:rsidP="003B254A">
      <w:pPr>
        <w:jc w:val="both"/>
        <w:rPr>
          <w:rFonts w:ascii="Arial" w:hAnsi="Arial" w:cs="Arial"/>
          <w:sz w:val="20"/>
          <w:szCs w:val="20"/>
        </w:rPr>
      </w:pPr>
      <w:r w:rsidRPr="004E2532">
        <w:rPr>
          <w:rFonts w:ascii="Arial" w:hAnsi="Arial" w:cs="Arial"/>
          <w:sz w:val="20"/>
          <w:szCs w:val="20"/>
        </w:rPr>
        <w:t>Il est rappelé que pour le contribuable, la suppression de la taxe d’habitation sur les résidences principales se déroule selon les modalités suivantes :</w:t>
      </w:r>
    </w:p>
    <w:p w14:paraId="7120C7CE" w14:textId="77777777" w:rsidR="00B72343" w:rsidRPr="00B72343" w:rsidRDefault="00B72343" w:rsidP="003B254A">
      <w:pPr>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134"/>
        <w:gridCol w:w="1134"/>
        <w:gridCol w:w="1134"/>
        <w:gridCol w:w="1134"/>
        <w:gridCol w:w="1134"/>
        <w:gridCol w:w="1134"/>
        <w:gridCol w:w="1134"/>
      </w:tblGrid>
      <w:tr w:rsidR="003B254A" w:rsidRPr="00220D50" w14:paraId="32A96EB2" w14:textId="77777777" w:rsidTr="003B254A">
        <w:tc>
          <w:tcPr>
            <w:tcW w:w="3402" w:type="dxa"/>
            <w:gridSpan w:val="3"/>
          </w:tcPr>
          <w:p w14:paraId="119E20C0" w14:textId="77777777" w:rsidR="003B254A" w:rsidRPr="000D3D45" w:rsidRDefault="003B254A" w:rsidP="003B254A">
            <w:pPr>
              <w:jc w:val="center"/>
              <w:rPr>
                <w:rFonts w:ascii="Arial" w:hAnsi="Arial" w:cs="Arial"/>
                <w:sz w:val="20"/>
                <w:szCs w:val="20"/>
                <w:u w:val="single"/>
              </w:rPr>
            </w:pPr>
            <w:r>
              <w:rPr>
                <w:rFonts w:ascii="Arial" w:hAnsi="Arial" w:cs="Arial"/>
                <w:sz w:val="20"/>
                <w:szCs w:val="20"/>
                <w:u w:val="single"/>
              </w:rPr>
              <w:t>Acte I</w:t>
            </w:r>
            <w:r w:rsidRPr="000D3D45">
              <w:rPr>
                <w:rFonts w:ascii="Arial" w:hAnsi="Arial" w:cs="Arial"/>
                <w:sz w:val="20"/>
                <w:szCs w:val="20"/>
                <w:u w:val="single"/>
              </w:rPr>
              <w:t> : 80% de ménages « dégrevés »</w:t>
            </w:r>
          </w:p>
        </w:tc>
        <w:tc>
          <w:tcPr>
            <w:tcW w:w="1134" w:type="dxa"/>
          </w:tcPr>
          <w:p w14:paraId="7A5B236A" w14:textId="77777777" w:rsidR="003B254A" w:rsidRPr="00220D50" w:rsidRDefault="003B254A" w:rsidP="003B254A">
            <w:pPr>
              <w:jc w:val="center"/>
              <w:rPr>
                <w:rFonts w:ascii="Arial" w:hAnsi="Arial" w:cs="Arial"/>
                <w:sz w:val="20"/>
                <w:szCs w:val="20"/>
              </w:rPr>
            </w:pPr>
          </w:p>
        </w:tc>
        <w:tc>
          <w:tcPr>
            <w:tcW w:w="4536" w:type="dxa"/>
            <w:gridSpan w:val="4"/>
          </w:tcPr>
          <w:p w14:paraId="156A8628" w14:textId="77777777" w:rsidR="003B254A" w:rsidRPr="000D3D45" w:rsidRDefault="003B254A" w:rsidP="003B254A">
            <w:pPr>
              <w:jc w:val="center"/>
              <w:rPr>
                <w:rFonts w:ascii="Arial" w:hAnsi="Arial" w:cs="Arial"/>
                <w:sz w:val="20"/>
                <w:szCs w:val="20"/>
                <w:u w:val="single"/>
              </w:rPr>
            </w:pPr>
            <w:r w:rsidRPr="000D3D45">
              <w:rPr>
                <w:rFonts w:ascii="Arial" w:hAnsi="Arial" w:cs="Arial"/>
                <w:sz w:val="20"/>
                <w:szCs w:val="20"/>
                <w:u w:val="single"/>
              </w:rPr>
              <w:t>Acte II : suppression pour les 20% restants</w:t>
            </w:r>
          </w:p>
        </w:tc>
      </w:tr>
      <w:tr w:rsidR="003B254A" w:rsidRPr="00220D50" w14:paraId="03B1F2D6" w14:textId="77777777" w:rsidTr="003B254A">
        <w:tc>
          <w:tcPr>
            <w:tcW w:w="1134" w:type="dxa"/>
          </w:tcPr>
          <w:p w14:paraId="2908650D" w14:textId="77777777" w:rsidR="003B254A" w:rsidRPr="00220D50" w:rsidRDefault="003B254A" w:rsidP="003B254A">
            <w:pPr>
              <w:rPr>
                <w:rFonts w:ascii="Arial" w:hAnsi="Arial" w:cs="Arial"/>
                <w:sz w:val="20"/>
                <w:szCs w:val="20"/>
              </w:rPr>
            </w:pPr>
          </w:p>
        </w:tc>
        <w:tc>
          <w:tcPr>
            <w:tcW w:w="1134" w:type="dxa"/>
          </w:tcPr>
          <w:p w14:paraId="42197B04" w14:textId="77777777" w:rsidR="003B254A" w:rsidRPr="00220D50" w:rsidRDefault="003B254A" w:rsidP="003B254A">
            <w:pPr>
              <w:rPr>
                <w:rFonts w:ascii="Arial" w:hAnsi="Arial" w:cs="Arial"/>
                <w:sz w:val="20"/>
                <w:szCs w:val="20"/>
              </w:rPr>
            </w:pPr>
          </w:p>
        </w:tc>
        <w:tc>
          <w:tcPr>
            <w:tcW w:w="1134" w:type="dxa"/>
          </w:tcPr>
          <w:p w14:paraId="66911361" w14:textId="77777777" w:rsidR="003B254A" w:rsidRPr="00220D50" w:rsidRDefault="003B254A" w:rsidP="003B254A">
            <w:pPr>
              <w:rPr>
                <w:rFonts w:ascii="Arial" w:hAnsi="Arial" w:cs="Arial"/>
                <w:sz w:val="20"/>
                <w:szCs w:val="20"/>
              </w:rPr>
            </w:pPr>
          </w:p>
        </w:tc>
        <w:tc>
          <w:tcPr>
            <w:tcW w:w="1134" w:type="dxa"/>
          </w:tcPr>
          <w:p w14:paraId="66A162A7" w14:textId="77777777" w:rsidR="003B254A" w:rsidRPr="00220D50" w:rsidRDefault="003B254A" w:rsidP="003B254A">
            <w:pPr>
              <w:rPr>
                <w:rFonts w:ascii="Arial" w:hAnsi="Arial" w:cs="Arial"/>
                <w:sz w:val="20"/>
                <w:szCs w:val="20"/>
              </w:rPr>
            </w:pPr>
          </w:p>
        </w:tc>
        <w:tc>
          <w:tcPr>
            <w:tcW w:w="1134" w:type="dxa"/>
          </w:tcPr>
          <w:p w14:paraId="58528884" w14:textId="77777777" w:rsidR="003B254A" w:rsidRDefault="003B254A" w:rsidP="003B254A">
            <w:pPr>
              <w:rPr>
                <w:rFonts w:ascii="Arial" w:hAnsi="Arial" w:cs="Arial"/>
                <w:sz w:val="20"/>
                <w:szCs w:val="20"/>
              </w:rPr>
            </w:pPr>
          </w:p>
        </w:tc>
        <w:tc>
          <w:tcPr>
            <w:tcW w:w="1134" w:type="dxa"/>
          </w:tcPr>
          <w:p w14:paraId="714C26B6" w14:textId="77777777" w:rsidR="003B254A" w:rsidRDefault="003B254A" w:rsidP="003B254A">
            <w:pPr>
              <w:rPr>
                <w:rFonts w:ascii="Arial" w:hAnsi="Arial" w:cs="Arial"/>
                <w:sz w:val="20"/>
                <w:szCs w:val="20"/>
              </w:rPr>
            </w:pPr>
          </w:p>
        </w:tc>
        <w:tc>
          <w:tcPr>
            <w:tcW w:w="1134" w:type="dxa"/>
          </w:tcPr>
          <w:p w14:paraId="11761080" w14:textId="77777777" w:rsidR="003B254A" w:rsidRDefault="003B254A" w:rsidP="003B254A">
            <w:pPr>
              <w:rPr>
                <w:rFonts w:ascii="Arial" w:hAnsi="Arial" w:cs="Arial"/>
                <w:sz w:val="20"/>
                <w:szCs w:val="20"/>
              </w:rPr>
            </w:pPr>
          </w:p>
        </w:tc>
        <w:tc>
          <w:tcPr>
            <w:tcW w:w="1134" w:type="dxa"/>
          </w:tcPr>
          <w:p w14:paraId="7963C60E" w14:textId="77777777" w:rsidR="003B254A" w:rsidRDefault="003B254A" w:rsidP="003B254A">
            <w:pPr>
              <w:rPr>
                <w:rFonts w:ascii="Arial" w:hAnsi="Arial" w:cs="Arial"/>
                <w:sz w:val="20"/>
                <w:szCs w:val="20"/>
              </w:rPr>
            </w:pPr>
          </w:p>
        </w:tc>
      </w:tr>
      <w:tr w:rsidR="003B254A" w:rsidRPr="00220D50" w14:paraId="2DC8D486" w14:textId="77777777" w:rsidTr="003B254A">
        <w:tc>
          <w:tcPr>
            <w:tcW w:w="1134" w:type="dxa"/>
          </w:tcPr>
          <w:p w14:paraId="5CBDB702" w14:textId="77777777" w:rsidR="003B254A" w:rsidRPr="00220D50" w:rsidRDefault="003B254A" w:rsidP="003B254A">
            <w:pPr>
              <w:jc w:val="center"/>
              <w:rPr>
                <w:rFonts w:ascii="Arial" w:hAnsi="Arial" w:cs="Arial"/>
                <w:sz w:val="20"/>
                <w:szCs w:val="20"/>
              </w:rPr>
            </w:pPr>
            <w:r w:rsidRPr="00220D50">
              <w:rPr>
                <w:rFonts w:ascii="Arial" w:hAnsi="Arial" w:cs="Arial"/>
                <w:sz w:val="20"/>
                <w:szCs w:val="20"/>
              </w:rPr>
              <w:t>2018</w:t>
            </w:r>
          </w:p>
        </w:tc>
        <w:tc>
          <w:tcPr>
            <w:tcW w:w="1134" w:type="dxa"/>
          </w:tcPr>
          <w:p w14:paraId="7522BB90" w14:textId="77777777" w:rsidR="003B254A" w:rsidRPr="00220D50" w:rsidRDefault="003B254A" w:rsidP="003B254A">
            <w:pPr>
              <w:jc w:val="center"/>
              <w:rPr>
                <w:rFonts w:ascii="Arial" w:hAnsi="Arial" w:cs="Arial"/>
                <w:sz w:val="20"/>
                <w:szCs w:val="20"/>
              </w:rPr>
            </w:pPr>
            <w:r w:rsidRPr="00220D50">
              <w:rPr>
                <w:rFonts w:ascii="Arial" w:hAnsi="Arial" w:cs="Arial"/>
                <w:sz w:val="20"/>
                <w:szCs w:val="20"/>
              </w:rPr>
              <w:t>2019</w:t>
            </w:r>
          </w:p>
        </w:tc>
        <w:tc>
          <w:tcPr>
            <w:tcW w:w="1134" w:type="dxa"/>
          </w:tcPr>
          <w:p w14:paraId="50827C79" w14:textId="77777777" w:rsidR="003B254A" w:rsidRPr="00220D50" w:rsidRDefault="003B254A" w:rsidP="003B254A">
            <w:pPr>
              <w:jc w:val="center"/>
              <w:rPr>
                <w:rFonts w:ascii="Arial" w:hAnsi="Arial" w:cs="Arial"/>
                <w:sz w:val="20"/>
                <w:szCs w:val="20"/>
              </w:rPr>
            </w:pPr>
            <w:r w:rsidRPr="00220D50">
              <w:rPr>
                <w:rFonts w:ascii="Arial" w:hAnsi="Arial" w:cs="Arial"/>
                <w:sz w:val="20"/>
                <w:szCs w:val="20"/>
              </w:rPr>
              <w:t>2020</w:t>
            </w:r>
          </w:p>
        </w:tc>
        <w:tc>
          <w:tcPr>
            <w:tcW w:w="1134" w:type="dxa"/>
          </w:tcPr>
          <w:p w14:paraId="38EDFCDB" w14:textId="77777777" w:rsidR="003B254A" w:rsidRPr="00220D50" w:rsidRDefault="003B254A" w:rsidP="003B254A">
            <w:pPr>
              <w:jc w:val="center"/>
              <w:rPr>
                <w:rFonts w:ascii="Arial" w:hAnsi="Arial" w:cs="Arial"/>
                <w:sz w:val="20"/>
                <w:szCs w:val="20"/>
              </w:rPr>
            </w:pPr>
          </w:p>
        </w:tc>
        <w:tc>
          <w:tcPr>
            <w:tcW w:w="1134" w:type="dxa"/>
          </w:tcPr>
          <w:p w14:paraId="1D0A41AA" w14:textId="77777777" w:rsidR="003B254A" w:rsidRPr="00220D50" w:rsidRDefault="003B254A" w:rsidP="003B254A">
            <w:pPr>
              <w:jc w:val="center"/>
              <w:rPr>
                <w:rFonts w:ascii="Arial" w:hAnsi="Arial" w:cs="Arial"/>
                <w:sz w:val="20"/>
                <w:szCs w:val="20"/>
              </w:rPr>
            </w:pPr>
            <w:r>
              <w:rPr>
                <w:rFonts w:ascii="Arial" w:hAnsi="Arial" w:cs="Arial"/>
                <w:sz w:val="20"/>
                <w:szCs w:val="20"/>
              </w:rPr>
              <w:t>2020</w:t>
            </w:r>
          </w:p>
        </w:tc>
        <w:tc>
          <w:tcPr>
            <w:tcW w:w="1134" w:type="dxa"/>
          </w:tcPr>
          <w:p w14:paraId="2D85E403" w14:textId="77777777" w:rsidR="003B254A" w:rsidRPr="00220D50" w:rsidRDefault="003B254A" w:rsidP="003B254A">
            <w:pPr>
              <w:jc w:val="center"/>
              <w:rPr>
                <w:rFonts w:ascii="Arial" w:hAnsi="Arial" w:cs="Arial"/>
                <w:sz w:val="20"/>
                <w:szCs w:val="20"/>
              </w:rPr>
            </w:pPr>
            <w:r>
              <w:rPr>
                <w:rFonts w:ascii="Arial" w:hAnsi="Arial" w:cs="Arial"/>
                <w:sz w:val="20"/>
                <w:szCs w:val="20"/>
              </w:rPr>
              <w:t>2021</w:t>
            </w:r>
          </w:p>
        </w:tc>
        <w:tc>
          <w:tcPr>
            <w:tcW w:w="1134" w:type="dxa"/>
          </w:tcPr>
          <w:p w14:paraId="048904FC" w14:textId="77777777" w:rsidR="003B254A" w:rsidRPr="00220D50" w:rsidRDefault="003B254A" w:rsidP="003B254A">
            <w:pPr>
              <w:jc w:val="center"/>
              <w:rPr>
                <w:rFonts w:ascii="Arial" w:hAnsi="Arial" w:cs="Arial"/>
                <w:sz w:val="20"/>
                <w:szCs w:val="20"/>
              </w:rPr>
            </w:pPr>
            <w:r>
              <w:rPr>
                <w:rFonts w:ascii="Arial" w:hAnsi="Arial" w:cs="Arial"/>
                <w:sz w:val="20"/>
                <w:szCs w:val="20"/>
              </w:rPr>
              <w:t>2022</w:t>
            </w:r>
          </w:p>
        </w:tc>
        <w:tc>
          <w:tcPr>
            <w:tcW w:w="1134" w:type="dxa"/>
          </w:tcPr>
          <w:p w14:paraId="1790EC60" w14:textId="77777777" w:rsidR="003B254A" w:rsidRPr="00220D50" w:rsidRDefault="003B254A" w:rsidP="003B254A">
            <w:pPr>
              <w:jc w:val="center"/>
              <w:rPr>
                <w:rFonts w:ascii="Arial" w:hAnsi="Arial" w:cs="Arial"/>
                <w:sz w:val="20"/>
                <w:szCs w:val="20"/>
              </w:rPr>
            </w:pPr>
            <w:r>
              <w:rPr>
                <w:rFonts w:ascii="Arial" w:hAnsi="Arial" w:cs="Arial"/>
                <w:sz w:val="20"/>
                <w:szCs w:val="20"/>
              </w:rPr>
              <w:t>2023</w:t>
            </w:r>
          </w:p>
        </w:tc>
      </w:tr>
      <w:tr w:rsidR="003B254A" w:rsidRPr="00220D50" w14:paraId="30A2F49D" w14:textId="77777777" w:rsidTr="003B254A">
        <w:tc>
          <w:tcPr>
            <w:tcW w:w="1134" w:type="dxa"/>
            <w:shd w:val="solid" w:color="FBD4B4" w:themeColor="accent6" w:themeTint="66" w:fill="auto"/>
          </w:tcPr>
          <w:p w14:paraId="0C8DF49F" w14:textId="77777777" w:rsidR="003B254A" w:rsidRPr="00220D50" w:rsidRDefault="003B254A" w:rsidP="003B254A">
            <w:pPr>
              <w:jc w:val="center"/>
              <w:rPr>
                <w:rFonts w:ascii="Arial" w:hAnsi="Arial" w:cs="Arial"/>
                <w:sz w:val="20"/>
                <w:szCs w:val="20"/>
              </w:rPr>
            </w:pPr>
            <w:r>
              <w:rPr>
                <w:rFonts w:ascii="Arial" w:hAnsi="Arial" w:cs="Arial"/>
                <w:sz w:val="20"/>
                <w:szCs w:val="20"/>
              </w:rPr>
              <w:t>- 30%</w:t>
            </w:r>
          </w:p>
        </w:tc>
        <w:tc>
          <w:tcPr>
            <w:tcW w:w="1134" w:type="dxa"/>
            <w:shd w:val="solid" w:color="FABF8F" w:themeColor="accent6" w:themeTint="99" w:fill="FABF8F" w:themeFill="accent6" w:themeFillTint="99"/>
          </w:tcPr>
          <w:p w14:paraId="3CEE265E" w14:textId="77777777" w:rsidR="003B254A" w:rsidRPr="00220D50" w:rsidRDefault="003B254A" w:rsidP="003B254A">
            <w:pPr>
              <w:jc w:val="center"/>
              <w:rPr>
                <w:rFonts w:ascii="Arial" w:hAnsi="Arial" w:cs="Arial"/>
                <w:sz w:val="20"/>
                <w:szCs w:val="20"/>
              </w:rPr>
            </w:pPr>
            <w:r>
              <w:rPr>
                <w:rFonts w:ascii="Arial" w:hAnsi="Arial" w:cs="Arial"/>
                <w:sz w:val="20"/>
                <w:szCs w:val="20"/>
              </w:rPr>
              <w:t>- 65%</w:t>
            </w:r>
          </w:p>
        </w:tc>
        <w:tc>
          <w:tcPr>
            <w:tcW w:w="1134" w:type="dxa"/>
            <w:shd w:val="solid" w:color="E36C0A" w:themeColor="accent6" w:themeShade="BF" w:fill="auto"/>
          </w:tcPr>
          <w:p w14:paraId="1742BD3E" w14:textId="77777777" w:rsidR="003B254A" w:rsidRPr="00220D50" w:rsidRDefault="003B254A" w:rsidP="003B254A">
            <w:pPr>
              <w:jc w:val="center"/>
              <w:rPr>
                <w:rFonts w:ascii="Arial" w:hAnsi="Arial" w:cs="Arial"/>
                <w:sz w:val="20"/>
                <w:szCs w:val="20"/>
              </w:rPr>
            </w:pPr>
            <w:r>
              <w:rPr>
                <w:rFonts w:ascii="Arial" w:hAnsi="Arial" w:cs="Arial"/>
                <w:sz w:val="20"/>
                <w:szCs w:val="20"/>
              </w:rPr>
              <w:t>- 100%</w:t>
            </w:r>
          </w:p>
        </w:tc>
        <w:tc>
          <w:tcPr>
            <w:tcW w:w="1134" w:type="dxa"/>
          </w:tcPr>
          <w:p w14:paraId="7662A5DF" w14:textId="77777777" w:rsidR="003B254A" w:rsidRPr="00220D50" w:rsidRDefault="003B254A" w:rsidP="003B254A">
            <w:pPr>
              <w:jc w:val="center"/>
              <w:rPr>
                <w:rFonts w:ascii="Arial" w:hAnsi="Arial" w:cs="Arial"/>
                <w:sz w:val="20"/>
                <w:szCs w:val="20"/>
              </w:rPr>
            </w:pPr>
          </w:p>
        </w:tc>
        <w:tc>
          <w:tcPr>
            <w:tcW w:w="1134" w:type="dxa"/>
          </w:tcPr>
          <w:p w14:paraId="41825E9D" w14:textId="77777777" w:rsidR="003B254A" w:rsidRDefault="001C778B" w:rsidP="003B254A">
            <w:pPr>
              <w:jc w:val="center"/>
              <w:rPr>
                <w:rFonts w:ascii="Arial" w:hAnsi="Arial" w:cs="Arial"/>
                <w:sz w:val="20"/>
                <w:szCs w:val="20"/>
              </w:rPr>
            </w:pPr>
            <w:r>
              <w:rPr>
                <w:rFonts w:ascii="Arial" w:hAnsi="Arial" w:cs="Arial"/>
                <w:noProof/>
                <w:sz w:val="20"/>
                <w:szCs w:val="20"/>
                <w:lang w:eastAsia="fr-FR"/>
              </w:rPr>
              <w:pict w14:anchorId="1C0A28A5">
                <v:shapetype id="_x0000_t32" coordsize="21600,21600" o:spt="32" o:oned="t" path="m,l21600,21600e" filled="f">
                  <v:path arrowok="t" fillok="f" o:connecttype="none"/>
                  <o:lock v:ext="edit" shapetype="t"/>
                </v:shapetype>
                <v:shape id="AutoShape 3" o:spid="_x0000_s1026" type="#_x0000_t32" style="position:absolute;left:0;text-align:left;margin-left:1pt;margin-top:1.75pt;width:17.5pt;height:17.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">
                  <v:stroke endarrow="block"/>
                </v:shape>
              </w:pict>
            </w:r>
          </w:p>
        </w:tc>
        <w:tc>
          <w:tcPr>
            <w:tcW w:w="1134" w:type="dxa"/>
            <w:shd w:val="solid" w:color="FBD4B4" w:themeColor="accent6" w:themeTint="66" w:fill="auto"/>
          </w:tcPr>
          <w:p w14:paraId="41747797" w14:textId="77777777" w:rsidR="003B254A" w:rsidRPr="00220D50" w:rsidRDefault="003B254A" w:rsidP="003B254A">
            <w:pPr>
              <w:jc w:val="center"/>
              <w:rPr>
                <w:rFonts w:ascii="Arial" w:hAnsi="Arial" w:cs="Arial"/>
                <w:sz w:val="20"/>
                <w:szCs w:val="20"/>
              </w:rPr>
            </w:pPr>
            <w:r>
              <w:rPr>
                <w:rFonts w:ascii="Arial" w:hAnsi="Arial" w:cs="Arial"/>
                <w:sz w:val="20"/>
                <w:szCs w:val="20"/>
              </w:rPr>
              <w:t>- 30%</w:t>
            </w:r>
          </w:p>
        </w:tc>
        <w:tc>
          <w:tcPr>
            <w:tcW w:w="1134" w:type="dxa"/>
            <w:shd w:val="solid" w:color="FABF8F" w:themeColor="accent6" w:themeTint="99" w:fill="auto"/>
          </w:tcPr>
          <w:p w14:paraId="2C1CAB6E" w14:textId="77777777" w:rsidR="003B254A" w:rsidRPr="00220D50" w:rsidRDefault="003B254A" w:rsidP="003B254A">
            <w:pPr>
              <w:jc w:val="center"/>
              <w:rPr>
                <w:rFonts w:ascii="Arial" w:hAnsi="Arial" w:cs="Arial"/>
                <w:sz w:val="20"/>
                <w:szCs w:val="20"/>
              </w:rPr>
            </w:pPr>
            <w:r>
              <w:rPr>
                <w:rFonts w:ascii="Arial" w:hAnsi="Arial" w:cs="Arial"/>
                <w:sz w:val="20"/>
                <w:szCs w:val="20"/>
              </w:rPr>
              <w:t>- 65%</w:t>
            </w:r>
          </w:p>
        </w:tc>
        <w:tc>
          <w:tcPr>
            <w:tcW w:w="1134" w:type="dxa"/>
            <w:shd w:val="solid" w:color="E36C0A" w:themeColor="accent6" w:themeShade="BF" w:fill="auto"/>
          </w:tcPr>
          <w:p w14:paraId="62E9710D" w14:textId="77777777" w:rsidR="003B254A" w:rsidRPr="00220D50" w:rsidRDefault="003B254A" w:rsidP="003B254A">
            <w:pPr>
              <w:jc w:val="center"/>
              <w:rPr>
                <w:rFonts w:ascii="Arial" w:hAnsi="Arial" w:cs="Arial"/>
                <w:sz w:val="20"/>
                <w:szCs w:val="20"/>
              </w:rPr>
            </w:pPr>
            <w:r>
              <w:rPr>
                <w:rFonts w:ascii="Arial" w:hAnsi="Arial" w:cs="Arial"/>
                <w:sz w:val="20"/>
                <w:szCs w:val="20"/>
              </w:rPr>
              <w:t>- 100%</w:t>
            </w:r>
          </w:p>
        </w:tc>
      </w:tr>
      <w:tr w:rsidR="003B254A" w:rsidRPr="00220D50" w14:paraId="56CBFE32" w14:textId="77777777" w:rsidTr="003B254A">
        <w:tc>
          <w:tcPr>
            <w:tcW w:w="1134" w:type="dxa"/>
          </w:tcPr>
          <w:p w14:paraId="768EEC4B" w14:textId="77777777" w:rsidR="003B254A" w:rsidRPr="00220D50" w:rsidRDefault="003B254A" w:rsidP="003B254A">
            <w:pPr>
              <w:rPr>
                <w:rFonts w:ascii="Arial" w:hAnsi="Arial" w:cs="Arial"/>
                <w:sz w:val="20"/>
                <w:szCs w:val="20"/>
              </w:rPr>
            </w:pPr>
          </w:p>
        </w:tc>
        <w:tc>
          <w:tcPr>
            <w:tcW w:w="1134" w:type="dxa"/>
          </w:tcPr>
          <w:p w14:paraId="640C0177" w14:textId="77777777" w:rsidR="003B254A" w:rsidRPr="00220D50" w:rsidRDefault="003B254A" w:rsidP="003B254A">
            <w:pPr>
              <w:rPr>
                <w:rFonts w:ascii="Arial" w:hAnsi="Arial" w:cs="Arial"/>
                <w:sz w:val="20"/>
                <w:szCs w:val="20"/>
              </w:rPr>
            </w:pPr>
          </w:p>
        </w:tc>
        <w:tc>
          <w:tcPr>
            <w:tcW w:w="1134" w:type="dxa"/>
          </w:tcPr>
          <w:p w14:paraId="3BA114C3" w14:textId="77777777" w:rsidR="003B254A" w:rsidRPr="00220D50" w:rsidRDefault="003B254A" w:rsidP="003B254A">
            <w:pPr>
              <w:rPr>
                <w:rFonts w:ascii="Arial" w:hAnsi="Arial" w:cs="Arial"/>
                <w:sz w:val="20"/>
                <w:szCs w:val="20"/>
              </w:rPr>
            </w:pPr>
          </w:p>
        </w:tc>
        <w:tc>
          <w:tcPr>
            <w:tcW w:w="2268" w:type="dxa"/>
            <w:gridSpan w:val="2"/>
            <w:vAlign w:val="bottom"/>
          </w:tcPr>
          <w:p w14:paraId="2DA65136" w14:textId="77777777" w:rsidR="003B254A" w:rsidRPr="000D3D45" w:rsidRDefault="003B254A" w:rsidP="003B254A">
            <w:pPr>
              <w:jc w:val="center"/>
              <w:rPr>
                <w:rFonts w:ascii="Arial" w:hAnsi="Arial" w:cs="Arial"/>
                <w:sz w:val="18"/>
                <w:szCs w:val="18"/>
              </w:rPr>
            </w:pPr>
            <w:r w:rsidRPr="000D3D45">
              <w:rPr>
                <w:rFonts w:ascii="Arial" w:hAnsi="Arial" w:cs="Arial"/>
                <w:sz w:val="18"/>
                <w:szCs w:val="18"/>
              </w:rPr>
              <w:t>Bases 2020 x taux 2019</w:t>
            </w:r>
          </w:p>
        </w:tc>
        <w:tc>
          <w:tcPr>
            <w:tcW w:w="2268" w:type="dxa"/>
            <w:gridSpan w:val="2"/>
          </w:tcPr>
          <w:p w14:paraId="60864C52" w14:textId="77777777" w:rsidR="003B254A" w:rsidRPr="000D3D45" w:rsidRDefault="003B254A" w:rsidP="003B254A">
            <w:pPr>
              <w:jc w:val="center"/>
              <w:rPr>
                <w:rFonts w:ascii="Arial" w:hAnsi="Arial" w:cs="Arial"/>
                <w:sz w:val="18"/>
                <w:szCs w:val="18"/>
              </w:rPr>
            </w:pPr>
            <w:r w:rsidRPr="000D3D45">
              <w:rPr>
                <w:rFonts w:ascii="Arial" w:hAnsi="Arial" w:cs="Arial"/>
                <w:sz w:val="18"/>
                <w:szCs w:val="18"/>
              </w:rPr>
              <w:t>Pas de revalorisation des bases</w:t>
            </w:r>
          </w:p>
        </w:tc>
        <w:tc>
          <w:tcPr>
            <w:tcW w:w="1134" w:type="dxa"/>
          </w:tcPr>
          <w:p w14:paraId="1B2ADF7A" w14:textId="77777777" w:rsidR="003B254A" w:rsidRPr="00220D50" w:rsidRDefault="003B254A" w:rsidP="003B254A">
            <w:pPr>
              <w:rPr>
                <w:rFonts w:ascii="Arial" w:hAnsi="Arial" w:cs="Arial"/>
                <w:sz w:val="20"/>
                <w:szCs w:val="20"/>
              </w:rPr>
            </w:pPr>
          </w:p>
        </w:tc>
      </w:tr>
      <w:tr w:rsidR="003B254A" w:rsidRPr="00220D50" w14:paraId="2C707820" w14:textId="77777777" w:rsidTr="003B254A">
        <w:tc>
          <w:tcPr>
            <w:tcW w:w="1134" w:type="dxa"/>
          </w:tcPr>
          <w:p w14:paraId="6AE3AAD0" w14:textId="77777777" w:rsidR="003B254A" w:rsidRPr="00220D50" w:rsidRDefault="003B254A" w:rsidP="003B254A">
            <w:pPr>
              <w:rPr>
                <w:rFonts w:ascii="Arial" w:hAnsi="Arial" w:cs="Arial"/>
                <w:sz w:val="20"/>
                <w:szCs w:val="20"/>
              </w:rPr>
            </w:pPr>
          </w:p>
        </w:tc>
        <w:tc>
          <w:tcPr>
            <w:tcW w:w="1134" w:type="dxa"/>
          </w:tcPr>
          <w:p w14:paraId="3B1CE7EC" w14:textId="77777777" w:rsidR="003B254A" w:rsidRPr="00220D50" w:rsidRDefault="003B254A" w:rsidP="003B254A">
            <w:pPr>
              <w:rPr>
                <w:rFonts w:ascii="Arial" w:hAnsi="Arial" w:cs="Arial"/>
                <w:sz w:val="20"/>
                <w:szCs w:val="20"/>
              </w:rPr>
            </w:pPr>
          </w:p>
        </w:tc>
        <w:tc>
          <w:tcPr>
            <w:tcW w:w="1134" w:type="dxa"/>
          </w:tcPr>
          <w:p w14:paraId="5EFA1409" w14:textId="77777777" w:rsidR="003B254A" w:rsidRPr="00220D50" w:rsidRDefault="003B254A" w:rsidP="003B254A">
            <w:pPr>
              <w:rPr>
                <w:rFonts w:ascii="Arial" w:hAnsi="Arial" w:cs="Arial"/>
                <w:sz w:val="20"/>
                <w:szCs w:val="20"/>
              </w:rPr>
            </w:pPr>
          </w:p>
        </w:tc>
        <w:tc>
          <w:tcPr>
            <w:tcW w:w="2268" w:type="dxa"/>
            <w:gridSpan w:val="2"/>
          </w:tcPr>
          <w:p w14:paraId="3ADF8C2A" w14:textId="77777777" w:rsidR="003B254A" w:rsidRPr="000D3D45" w:rsidRDefault="003B254A" w:rsidP="003B254A">
            <w:pPr>
              <w:jc w:val="center"/>
              <w:rPr>
                <w:rFonts w:ascii="Arial" w:hAnsi="Arial" w:cs="Arial"/>
                <w:sz w:val="18"/>
                <w:szCs w:val="18"/>
              </w:rPr>
            </w:pPr>
            <w:r w:rsidRPr="000D3D45">
              <w:rPr>
                <w:rFonts w:ascii="Arial" w:hAnsi="Arial" w:cs="Arial"/>
                <w:sz w:val="18"/>
                <w:szCs w:val="18"/>
              </w:rPr>
              <w:t>(</w:t>
            </w:r>
            <w:proofErr w:type="gramStart"/>
            <w:r w:rsidRPr="000D3D45">
              <w:rPr>
                <w:rFonts w:ascii="Arial" w:hAnsi="Arial" w:cs="Arial"/>
                <w:sz w:val="18"/>
                <w:szCs w:val="18"/>
              </w:rPr>
              <w:t>revalorisées</w:t>
            </w:r>
            <w:proofErr w:type="gramEnd"/>
            <w:r w:rsidRPr="000D3D45">
              <w:rPr>
                <w:rFonts w:ascii="Arial" w:hAnsi="Arial" w:cs="Arial"/>
                <w:sz w:val="18"/>
                <w:szCs w:val="18"/>
              </w:rPr>
              <w:t xml:space="preserve"> de 0,9%)</w:t>
            </w:r>
          </w:p>
        </w:tc>
        <w:tc>
          <w:tcPr>
            <w:tcW w:w="2268" w:type="dxa"/>
            <w:gridSpan w:val="2"/>
          </w:tcPr>
          <w:p w14:paraId="2D10FA81" w14:textId="77777777" w:rsidR="00B72343" w:rsidRPr="000D3D45" w:rsidRDefault="003B254A" w:rsidP="00B72343">
            <w:pPr>
              <w:jc w:val="center"/>
              <w:rPr>
                <w:rFonts w:ascii="Arial" w:hAnsi="Arial" w:cs="Arial"/>
                <w:sz w:val="18"/>
                <w:szCs w:val="18"/>
              </w:rPr>
            </w:pPr>
            <w:r w:rsidRPr="000D3D45">
              <w:rPr>
                <w:rFonts w:ascii="Arial" w:hAnsi="Arial" w:cs="Arial"/>
                <w:sz w:val="18"/>
                <w:szCs w:val="18"/>
              </w:rPr>
              <w:t xml:space="preserve">Gel des taux et </w:t>
            </w:r>
            <w:r>
              <w:rPr>
                <w:rFonts w:ascii="Arial" w:hAnsi="Arial" w:cs="Arial"/>
                <w:sz w:val="18"/>
                <w:szCs w:val="18"/>
              </w:rPr>
              <w:t xml:space="preserve">des </w:t>
            </w:r>
            <w:r w:rsidRPr="000D3D45">
              <w:rPr>
                <w:rFonts w:ascii="Arial" w:hAnsi="Arial" w:cs="Arial"/>
                <w:sz w:val="18"/>
                <w:szCs w:val="18"/>
              </w:rPr>
              <w:t>abattements au niveau de 2019</w:t>
            </w:r>
          </w:p>
        </w:tc>
        <w:tc>
          <w:tcPr>
            <w:tcW w:w="1134" w:type="dxa"/>
          </w:tcPr>
          <w:p w14:paraId="7F66F922" w14:textId="77777777" w:rsidR="003B254A" w:rsidRPr="00220D50" w:rsidRDefault="003B254A" w:rsidP="003B254A">
            <w:pPr>
              <w:rPr>
                <w:rFonts w:ascii="Arial" w:hAnsi="Arial" w:cs="Arial"/>
                <w:sz w:val="20"/>
                <w:szCs w:val="20"/>
              </w:rPr>
            </w:pPr>
          </w:p>
        </w:tc>
      </w:tr>
    </w:tbl>
    <w:p w14:paraId="71BD3751" w14:textId="77777777" w:rsidR="003B254A" w:rsidRDefault="003B254A" w:rsidP="000F2FB0">
      <w:pPr>
        <w:autoSpaceDE w:val="0"/>
        <w:autoSpaceDN w:val="0"/>
        <w:adjustRightInd w:val="0"/>
        <w:jc w:val="both"/>
        <w:rPr>
          <w:rFonts w:ascii="Arial" w:hAnsi="Arial" w:cs="Arial"/>
          <w:color w:val="FF0000"/>
          <w:sz w:val="20"/>
          <w:szCs w:val="20"/>
        </w:rPr>
      </w:pPr>
    </w:p>
    <w:p w14:paraId="03001A83" w14:textId="77777777" w:rsidR="00C8696D" w:rsidRPr="00234BEE" w:rsidRDefault="00515A17" w:rsidP="00C8696D">
      <w:pPr>
        <w:jc w:val="both"/>
        <w:rPr>
          <w:rFonts w:ascii="Arial" w:hAnsi="Arial" w:cs="Arial"/>
          <w:sz w:val="20"/>
          <w:szCs w:val="20"/>
        </w:rPr>
      </w:pPr>
      <w:r w:rsidRPr="00E70989">
        <w:rPr>
          <w:rFonts w:ascii="Arial" w:hAnsi="Arial" w:cs="Arial"/>
          <w:sz w:val="20"/>
          <w:szCs w:val="20"/>
        </w:rPr>
        <w:t>Le</w:t>
      </w:r>
      <w:r w:rsidR="00C8696D" w:rsidRPr="00E70989">
        <w:rPr>
          <w:rFonts w:ascii="Arial" w:hAnsi="Arial" w:cs="Arial"/>
          <w:sz w:val="20"/>
          <w:szCs w:val="20"/>
        </w:rPr>
        <w:t xml:space="preserve"> bouleversement fiscal que provoquent la suppression de la taxe d’habitation </w:t>
      </w:r>
      <w:r w:rsidRPr="00E70989">
        <w:rPr>
          <w:rFonts w:ascii="Arial" w:hAnsi="Arial" w:cs="Arial"/>
          <w:sz w:val="20"/>
          <w:szCs w:val="20"/>
        </w:rPr>
        <w:t xml:space="preserve">et </w:t>
      </w:r>
      <w:r w:rsidR="00C8696D" w:rsidRPr="00E70989">
        <w:rPr>
          <w:rFonts w:ascii="Arial" w:hAnsi="Arial" w:cs="Arial"/>
          <w:sz w:val="20"/>
          <w:szCs w:val="20"/>
        </w:rPr>
        <w:t xml:space="preserve">la réduction </w:t>
      </w:r>
      <w:r w:rsidR="002B4D3A">
        <w:rPr>
          <w:rFonts w:ascii="Arial" w:hAnsi="Arial" w:cs="Arial"/>
          <w:sz w:val="20"/>
          <w:szCs w:val="20"/>
        </w:rPr>
        <w:t>des bases de</w:t>
      </w:r>
      <w:r w:rsidR="00C8696D" w:rsidRPr="00E70989">
        <w:rPr>
          <w:rFonts w:ascii="Arial" w:hAnsi="Arial" w:cs="Arial"/>
          <w:sz w:val="20"/>
          <w:szCs w:val="20"/>
        </w:rPr>
        <w:t xml:space="preserve"> </w:t>
      </w:r>
      <w:r w:rsidR="00E70989">
        <w:rPr>
          <w:rFonts w:ascii="Arial" w:hAnsi="Arial" w:cs="Arial"/>
          <w:sz w:val="20"/>
          <w:szCs w:val="20"/>
        </w:rPr>
        <w:t xml:space="preserve">TFPB </w:t>
      </w:r>
      <w:r w:rsidR="00F210F0">
        <w:rPr>
          <w:rFonts w:ascii="Arial" w:hAnsi="Arial" w:cs="Arial"/>
          <w:sz w:val="20"/>
          <w:szCs w:val="20"/>
        </w:rPr>
        <w:t>des locaux</w:t>
      </w:r>
      <w:r w:rsidRPr="00E70989">
        <w:rPr>
          <w:rFonts w:ascii="Arial" w:hAnsi="Arial" w:cs="Arial"/>
          <w:sz w:val="20"/>
          <w:szCs w:val="20"/>
        </w:rPr>
        <w:t xml:space="preserve"> industriels </w:t>
      </w:r>
      <w:r w:rsidR="00C8696D" w:rsidRPr="00E70989">
        <w:rPr>
          <w:rFonts w:ascii="Arial" w:hAnsi="Arial" w:cs="Arial"/>
          <w:sz w:val="20"/>
          <w:szCs w:val="20"/>
        </w:rPr>
        <w:t xml:space="preserve">modifie en profondeur </w:t>
      </w:r>
      <w:r w:rsidR="00234BEE" w:rsidRPr="00234BEE">
        <w:rPr>
          <w:rFonts w:ascii="Arial" w:hAnsi="Arial" w:cs="Arial"/>
          <w:sz w:val="20"/>
          <w:szCs w:val="20"/>
        </w:rPr>
        <w:t xml:space="preserve">le panier de </w:t>
      </w:r>
      <w:r w:rsidR="00F210F0">
        <w:rPr>
          <w:rFonts w:ascii="Arial" w:hAnsi="Arial" w:cs="Arial"/>
          <w:sz w:val="20"/>
          <w:szCs w:val="20"/>
        </w:rPr>
        <w:t xml:space="preserve">ressources </w:t>
      </w:r>
      <w:r w:rsidR="00234BEE" w:rsidRPr="00234BEE">
        <w:rPr>
          <w:rFonts w:ascii="Arial" w:hAnsi="Arial" w:cs="Arial"/>
          <w:sz w:val="20"/>
          <w:szCs w:val="20"/>
        </w:rPr>
        <w:t>des collectivités</w:t>
      </w:r>
      <w:r w:rsidR="00E70989" w:rsidRPr="00234BEE">
        <w:rPr>
          <w:rFonts w:ascii="Arial" w:hAnsi="Arial" w:cs="Arial"/>
          <w:sz w:val="20"/>
          <w:szCs w:val="20"/>
        </w:rPr>
        <w:t xml:space="preserve"> et </w:t>
      </w:r>
      <w:r w:rsidR="00F210F0">
        <w:rPr>
          <w:rFonts w:ascii="Arial" w:hAnsi="Arial" w:cs="Arial"/>
          <w:sz w:val="20"/>
          <w:szCs w:val="20"/>
        </w:rPr>
        <w:t xml:space="preserve">conduit à </w:t>
      </w:r>
      <w:r w:rsidR="00C8696D" w:rsidRPr="00234BEE">
        <w:rPr>
          <w:rFonts w:ascii="Arial" w:hAnsi="Arial" w:cs="Arial"/>
          <w:sz w:val="20"/>
          <w:szCs w:val="20"/>
        </w:rPr>
        <w:t>une ref</w:t>
      </w:r>
      <w:r w:rsidR="00E70989" w:rsidRPr="00234BEE">
        <w:rPr>
          <w:rFonts w:ascii="Arial" w:hAnsi="Arial" w:cs="Arial"/>
          <w:sz w:val="20"/>
          <w:szCs w:val="20"/>
        </w:rPr>
        <w:t xml:space="preserve">onte </w:t>
      </w:r>
      <w:r w:rsidR="00F210F0">
        <w:rPr>
          <w:rFonts w:ascii="Arial" w:hAnsi="Arial" w:cs="Arial"/>
          <w:sz w:val="20"/>
          <w:szCs w:val="20"/>
        </w:rPr>
        <w:t>des indicateurs financiers servant à</w:t>
      </w:r>
      <w:r w:rsidR="00E70989" w:rsidRPr="00234BEE">
        <w:rPr>
          <w:rFonts w:ascii="Arial" w:hAnsi="Arial" w:cs="Arial"/>
          <w:sz w:val="20"/>
          <w:szCs w:val="20"/>
        </w:rPr>
        <w:t xml:space="preserve"> la répartition des dotation</w:t>
      </w:r>
      <w:r w:rsidR="000E6E42" w:rsidRPr="00234BEE">
        <w:rPr>
          <w:rFonts w:ascii="Arial" w:hAnsi="Arial" w:cs="Arial"/>
          <w:sz w:val="20"/>
          <w:szCs w:val="20"/>
        </w:rPr>
        <w:t>s</w:t>
      </w:r>
      <w:r w:rsidR="00E70989" w:rsidRPr="00234BEE">
        <w:rPr>
          <w:rFonts w:ascii="Arial" w:hAnsi="Arial" w:cs="Arial"/>
          <w:sz w:val="20"/>
          <w:szCs w:val="20"/>
        </w:rPr>
        <w:t xml:space="preserve"> et </w:t>
      </w:r>
      <w:r w:rsidR="00F210F0">
        <w:rPr>
          <w:rFonts w:ascii="Arial" w:hAnsi="Arial" w:cs="Arial"/>
          <w:sz w:val="20"/>
          <w:szCs w:val="20"/>
        </w:rPr>
        <w:t>des fonds de</w:t>
      </w:r>
      <w:r w:rsidR="00E70989" w:rsidRPr="00234BEE">
        <w:rPr>
          <w:rFonts w:ascii="Arial" w:hAnsi="Arial" w:cs="Arial"/>
          <w:sz w:val="20"/>
          <w:szCs w:val="20"/>
        </w:rPr>
        <w:t xml:space="preserve"> péréquation</w:t>
      </w:r>
      <w:r w:rsidR="00C8696D" w:rsidRPr="00234BEE">
        <w:rPr>
          <w:rFonts w:ascii="Arial" w:hAnsi="Arial" w:cs="Arial"/>
          <w:sz w:val="20"/>
          <w:szCs w:val="20"/>
        </w:rPr>
        <w:t>.</w:t>
      </w:r>
    </w:p>
    <w:p w14:paraId="3605BF46" w14:textId="77777777" w:rsidR="00515A17" w:rsidRDefault="00234BEE" w:rsidP="00276164">
      <w:pPr>
        <w:autoSpaceDE w:val="0"/>
        <w:autoSpaceDN w:val="0"/>
        <w:adjustRightInd w:val="0"/>
        <w:jc w:val="both"/>
        <w:rPr>
          <w:rFonts w:ascii="Arial" w:hAnsi="Arial" w:cs="Arial"/>
          <w:sz w:val="20"/>
          <w:szCs w:val="20"/>
        </w:rPr>
      </w:pPr>
      <w:r>
        <w:rPr>
          <w:rFonts w:ascii="Arial" w:hAnsi="Arial" w:cs="Arial"/>
          <w:sz w:val="20"/>
          <w:szCs w:val="20"/>
        </w:rPr>
        <w:t>Sur la base des travaux du Comité des finances locales (CFL), l</w:t>
      </w:r>
      <w:r w:rsidR="00AC1587">
        <w:rPr>
          <w:rFonts w:ascii="Arial" w:hAnsi="Arial" w:cs="Arial"/>
          <w:sz w:val="20"/>
          <w:szCs w:val="20"/>
        </w:rPr>
        <w:t>a réforme de ces</w:t>
      </w:r>
      <w:r w:rsidR="00DD52CB">
        <w:rPr>
          <w:rFonts w:ascii="Arial" w:hAnsi="Arial" w:cs="Arial"/>
          <w:sz w:val="20"/>
          <w:szCs w:val="20"/>
        </w:rPr>
        <w:t xml:space="preserve"> indicateurs financiers </w:t>
      </w:r>
      <w:r w:rsidR="00E70989">
        <w:rPr>
          <w:rFonts w:ascii="Arial" w:hAnsi="Arial" w:cs="Arial"/>
          <w:sz w:val="20"/>
          <w:szCs w:val="20"/>
        </w:rPr>
        <w:t xml:space="preserve">est </w:t>
      </w:r>
      <w:r w:rsidR="00DD52CB">
        <w:rPr>
          <w:rFonts w:ascii="Arial" w:hAnsi="Arial" w:cs="Arial"/>
          <w:sz w:val="20"/>
          <w:szCs w:val="20"/>
        </w:rPr>
        <w:t>lancée</w:t>
      </w:r>
      <w:r w:rsidR="00515A17">
        <w:rPr>
          <w:rFonts w:ascii="Arial" w:hAnsi="Arial" w:cs="Arial"/>
          <w:sz w:val="20"/>
          <w:szCs w:val="20"/>
        </w:rPr>
        <w:t xml:space="preserve"> avec une neutralisation totale en 2022 </w:t>
      </w:r>
      <w:r w:rsidR="00276164">
        <w:rPr>
          <w:rFonts w:ascii="Arial" w:hAnsi="Arial" w:cs="Arial"/>
          <w:sz w:val="20"/>
          <w:szCs w:val="20"/>
        </w:rPr>
        <w:t xml:space="preserve">et un système de lissage </w:t>
      </w:r>
      <w:r w:rsidR="00515A17">
        <w:rPr>
          <w:rFonts w:ascii="Arial" w:hAnsi="Arial" w:cs="Arial"/>
          <w:sz w:val="20"/>
          <w:szCs w:val="20"/>
        </w:rPr>
        <w:t xml:space="preserve">à </w:t>
      </w:r>
      <w:r w:rsidR="00276164">
        <w:rPr>
          <w:rFonts w:ascii="Arial" w:hAnsi="Arial" w:cs="Arial"/>
          <w:sz w:val="20"/>
          <w:szCs w:val="20"/>
        </w:rPr>
        <w:t xml:space="preserve">partir de 2023 pour une application à 100% en 2028. </w:t>
      </w:r>
      <w:r w:rsidR="009B40D6">
        <w:rPr>
          <w:rFonts w:ascii="Arial" w:hAnsi="Arial" w:cs="Arial"/>
          <w:sz w:val="20"/>
          <w:szCs w:val="20"/>
        </w:rPr>
        <w:t>La prise en compte sera dégressive : 90% en 2023, 80% en 2024, 60% en 2025, 40% en 2026 et 20% en 2027.</w:t>
      </w:r>
    </w:p>
    <w:p w14:paraId="1587B64E" w14:textId="77777777" w:rsidR="00907ED5" w:rsidRDefault="00276164" w:rsidP="00276164">
      <w:pPr>
        <w:autoSpaceDE w:val="0"/>
        <w:autoSpaceDN w:val="0"/>
        <w:adjustRightInd w:val="0"/>
        <w:jc w:val="both"/>
        <w:rPr>
          <w:rFonts w:ascii="Arial" w:hAnsi="Arial" w:cs="Arial"/>
          <w:sz w:val="20"/>
          <w:szCs w:val="20"/>
        </w:rPr>
      </w:pPr>
      <w:r>
        <w:rPr>
          <w:rFonts w:ascii="Arial" w:hAnsi="Arial" w:cs="Arial"/>
          <w:sz w:val="20"/>
          <w:szCs w:val="20"/>
        </w:rPr>
        <w:t>Le calcul du potentiel financier est modifié et de nouvelles ressources y sont intégrées comme les droits de mutation à titre onéreux (DMTO</w:t>
      </w:r>
      <w:r w:rsidR="009B40D6">
        <w:rPr>
          <w:rFonts w:ascii="Arial" w:hAnsi="Arial" w:cs="Arial"/>
          <w:sz w:val="20"/>
          <w:szCs w:val="20"/>
        </w:rPr>
        <w:t>, moyenne triennale n-4 à n-2</w:t>
      </w:r>
      <w:r>
        <w:rPr>
          <w:rFonts w:ascii="Arial" w:hAnsi="Arial" w:cs="Arial"/>
          <w:sz w:val="20"/>
          <w:szCs w:val="20"/>
        </w:rPr>
        <w:t>), la taxe locale sur la publicité extérieure (TLPE</w:t>
      </w:r>
      <w:r w:rsidR="009B40D6">
        <w:rPr>
          <w:rFonts w:ascii="Arial" w:hAnsi="Arial" w:cs="Arial"/>
          <w:sz w:val="20"/>
          <w:szCs w:val="20"/>
        </w:rPr>
        <w:t>, valeur n-2</w:t>
      </w:r>
      <w:r>
        <w:rPr>
          <w:rFonts w:ascii="Arial" w:hAnsi="Arial" w:cs="Arial"/>
          <w:sz w:val="20"/>
          <w:szCs w:val="20"/>
        </w:rPr>
        <w:t xml:space="preserve">), la taxe sur les pylônes </w:t>
      </w:r>
      <w:proofErr w:type="gramStart"/>
      <w:r>
        <w:rPr>
          <w:rFonts w:ascii="Arial" w:hAnsi="Arial" w:cs="Arial"/>
          <w:sz w:val="20"/>
          <w:szCs w:val="20"/>
        </w:rPr>
        <w:t>électriques  et</w:t>
      </w:r>
      <w:proofErr w:type="gramEnd"/>
      <w:r>
        <w:rPr>
          <w:rFonts w:ascii="Arial" w:hAnsi="Arial" w:cs="Arial"/>
          <w:sz w:val="20"/>
          <w:szCs w:val="20"/>
        </w:rPr>
        <w:t xml:space="preserve"> la majoration de la taxe d’habitation sur les résidences secondaires (THRS). Le PLF pour 2022 propose également de simplifier le calcul de l’effort fiscal en le centrant sur </w:t>
      </w:r>
      <w:r w:rsidR="00515A17">
        <w:rPr>
          <w:rFonts w:ascii="Arial" w:hAnsi="Arial" w:cs="Arial"/>
          <w:sz w:val="20"/>
          <w:szCs w:val="20"/>
        </w:rPr>
        <w:t>les seuls produits communaux</w:t>
      </w:r>
      <w:r w:rsidR="00234BEE">
        <w:rPr>
          <w:rFonts w:ascii="Arial" w:hAnsi="Arial" w:cs="Arial"/>
          <w:sz w:val="20"/>
          <w:szCs w:val="20"/>
        </w:rPr>
        <w:t>, passant ainsi d’une logique de pression fiscale sur le territoire de la commune à une logique de produit perçu par la commune.</w:t>
      </w:r>
    </w:p>
    <w:p w14:paraId="12697899" w14:textId="77777777" w:rsidR="00790ADA" w:rsidRDefault="009B40D6" w:rsidP="00276164">
      <w:pPr>
        <w:autoSpaceDE w:val="0"/>
        <w:autoSpaceDN w:val="0"/>
        <w:adjustRightInd w:val="0"/>
        <w:jc w:val="both"/>
        <w:rPr>
          <w:rFonts w:ascii="Arial" w:hAnsi="Arial" w:cs="Arial"/>
          <w:sz w:val="20"/>
          <w:szCs w:val="20"/>
        </w:rPr>
      </w:pPr>
      <w:r>
        <w:rPr>
          <w:rFonts w:ascii="Arial" w:hAnsi="Arial" w:cs="Arial"/>
          <w:sz w:val="20"/>
          <w:szCs w:val="20"/>
        </w:rPr>
        <w:t>De</w:t>
      </w:r>
      <w:r w:rsidR="00E70989">
        <w:rPr>
          <w:rFonts w:ascii="Arial" w:hAnsi="Arial" w:cs="Arial"/>
          <w:sz w:val="20"/>
          <w:szCs w:val="20"/>
        </w:rPr>
        <w:t xml:space="preserve"> no</w:t>
      </w:r>
      <w:r w:rsidR="00790ADA">
        <w:rPr>
          <w:rFonts w:ascii="Arial" w:hAnsi="Arial" w:cs="Arial"/>
          <w:sz w:val="20"/>
          <w:szCs w:val="20"/>
        </w:rPr>
        <w:t>mbreuses incertitudes demeurent</w:t>
      </w:r>
      <w:r w:rsidR="00E70989">
        <w:rPr>
          <w:rFonts w:ascii="Arial" w:hAnsi="Arial" w:cs="Arial"/>
          <w:sz w:val="20"/>
          <w:szCs w:val="20"/>
        </w:rPr>
        <w:t xml:space="preserve"> en raison du </w:t>
      </w:r>
      <w:r w:rsidR="00790ADA">
        <w:rPr>
          <w:rFonts w:ascii="Arial" w:hAnsi="Arial" w:cs="Arial"/>
          <w:sz w:val="20"/>
          <w:szCs w:val="20"/>
        </w:rPr>
        <w:t xml:space="preserve">peu de travaux, </w:t>
      </w:r>
      <w:r w:rsidR="00E70989">
        <w:rPr>
          <w:rFonts w:ascii="Arial" w:hAnsi="Arial" w:cs="Arial"/>
          <w:sz w:val="20"/>
          <w:szCs w:val="20"/>
        </w:rPr>
        <w:t>de simulations</w:t>
      </w:r>
      <w:r w:rsidR="00790ADA">
        <w:rPr>
          <w:rFonts w:ascii="Arial" w:hAnsi="Arial" w:cs="Arial"/>
          <w:sz w:val="20"/>
          <w:szCs w:val="20"/>
        </w:rPr>
        <w:t xml:space="preserve"> </w:t>
      </w:r>
      <w:r w:rsidR="000E6E42">
        <w:rPr>
          <w:rFonts w:ascii="Arial" w:hAnsi="Arial" w:cs="Arial"/>
          <w:sz w:val="20"/>
          <w:szCs w:val="20"/>
        </w:rPr>
        <w:t xml:space="preserve">et </w:t>
      </w:r>
      <w:r w:rsidR="00790ADA">
        <w:rPr>
          <w:rFonts w:ascii="Arial" w:hAnsi="Arial" w:cs="Arial"/>
          <w:sz w:val="20"/>
          <w:szCs w:val="20"/>
        </w:rPr>
        <w:t>d’étude</w:t>
      </w:r>
      <w:r w:rsidR="000E6E42">
        <w:rPr>
          <w:rFonts w:ascii="Arial" w:hAnsi="Arial" w:cs="Arial"/>
          <w:sz w:val="20"/>
          <w:szCs w:val="20"/>
        </w:rPr>
        <w:t>s</w:t>
      </w:r>
      <w:r w:rsidR="00790ADA">
        <w:rPr>
          <w:rFonts w:ascii="Arial" w:hAnsi="Arial" w:cs="Arial"/>
          <w:sz w:val="20"/>
          <w:szCs w:val="20"/>
        </w:rPr>
        <w:t xml:space="preserve"> d’</w:t>
      </w:r>
      <w:r w:rsidR="000E6E42">
        <w:rPr>
          <w:rFonts w:ascii="Arial" w:hAnsi="Arial" w:cs="Arial"/>
          <w:sz w:val="20"/>
          <w:szCs w:val="20"/>
        </w:rPr>
        <w:t xml:space="preserve">impact des valeurs de ces indicateurs réformés sur les dotations de chaque commune. </w:t>
      </w:r>
      <w:r w:rsidR="00F27645">
        <w:rPr>
          <w:rFonts w:ascii="Arial" w:hAnsi="Arial" w:cs="Arial"/>
          <w:sz w:val="20"/>
          <w:szCs w:val="20"/>
        </w:rPr>
        <w:t xml:space="preserve">D’ores </w:t>
      </w:r>
      <w:r w:rsidR="000E6E42">
        <w:rPr>
          <w:rFonts w:ascii="Arial" w:hAnsi="Arial" w:cs="Arial"/>
          <w:sz w:val="20"/>
          <w:szCs w:val="20"/>
        </w:rPr>
        <w:t xml:space="preserve">et déjà, </w:t>
      </w:r>
      <w:r w:rsidR="006111F1">
        <w:rPr>
          <w:rFonts w:ascii="Arial" w:hAnsi="Arial" w:cs="Arial"/>
          <w:sz w:val="20"/>
          <w:szCs w:val="20"/>
        </w:rPr>
        <w:t>des voix s’élèvent</w:t>
      </w:r>
      <w:r w:rsidR="000E6E42">
        <w:rPr>
          <w:rFonts w:ascii="Arial" w:hAnsi="Arial" w:cs="Arial"/>
          <w:sz w:val="20"/>
          <w:szCs w:val="20"/>
        </w:rPr>
        <w:t xml:space="preserve"> sur les variations différenciées selon les concours</w:t>
      </w:r>
      <w:r w:rsidR="006111F1">
        <w:rPr>
          <w:rFonts w:ascii="Arial" w:hAnsi="Arial" w:cs="Arial"/>
          <w:sz w:val="20"/>
          <w:szCs w:val="20"/>
        </w:rPr>
        <w:t xml:space="preserve">, </w:t>
      </w:r>
      <w:r w:rsidR="006F3B16">
        <w:rPr>
          <w:rFonts w:ascii="Arial" w:hAnsi="Arial" w:cs="Arial"/>
          <w:sz w:val="20"/>
          <w:szCs w:val="20"/>
        </w:rPr>
        <w:t>les effets sur l’intégration fiscale</w:t>
      </w:r>
      <w:r w:rsidR="006111F1">
        <w:rPr>
          <w:rFonts w:ascii="Arial" w:hAnsi="Arial" w:cs="Arial"/>
          <w:sz w:val="20"/>
          <w:szCs w:val="20"/>
        </w:rPr>
        <w:t xml:space="preserve">, la nécessaire </w:t>
      </w:r>
      <w:r w:rsidR="00E70989">
        <w:rPr>
          <w:rFonts w:ascii="Arial" w:hAnsi="Arial" w:cs="Arial"/>
          <w:sz w:val="20"/>
          <w:szCs w:val="20"/>
        </w:rPr>
        <w:t>révision des seuils d’éligibilité</w:t>
      </w:r>
      <w:r w:rsidR="00790ADA">
        <w:rPr>
          <w:rFonts w:ascii="Arial" w:hAnsi="Arial" w:cs="Arial"/>
          <w:sz w:val="20"/>
          <w:szCs w:val="20"/>
        </w:rPr>
        <w:t xml:space="preserve"> et</w:t>
      </w:r>
      <w:r w:rsidR="00E70989">
        <w:rPr>
          <w:rFonts w:ascii="Arial" w:hAnsi="Arial" w:cs="Arial"/>
          <w:sz w:val="20"/>
          <w:szCs w:val="20"/>
        </w:rPr>
        <w:t xml:space="preserve"> </w:t>
      </w:r>
      <w:r w:rsidR="00790ADA">
        <w:rPr>
          <w:rFonts w:ascii="Arial" w:hAnsi="Arial" w:cs="Arial"/>
          <w:sz w:val="20"/>
          <w:szCs w:val="20"/>
        </w:rPr>
        <w:t xml:space="preserve">des </w:t>
      </w:r>
      <w:r w:rsidR="00E70989">
        <w:rPr>
          <w:rFonts w:ascii="Arial" w:hAnsi="Arial" w:cs="Arial"/>
          <w:sz w:val="20"/>
          <w:szCs w:val="20"/>
        </w:rPr>
        <w:t>garanties de sortie</w:t>
      </w:r>
      <w:r w:rsidR="00790ADA">
        <w:rPr>
          <w:rFonts w:ascii="Arial" w:hAnsi="Arial" w:cs="Arial"/>
          <w:sz w:val="20"/>
          <w:szCs w:val="20"/>
        </w:rPr>
        <w:t xml:space="preserve"> des différents dispositifs. </w:t>
      </w:r>
      <w:r w:rsidR="006F3B16">
        <w:rPr>
          <w:rFonts w:ascii="Arial" w:hAnsi="Arial" w:cs="Arial"/>
          <w:sz w:val="20"/>
          <w:szCs w:val="20"/>
        </w:rPr>
        <w:t>Des amendements ont été déposés</w:t>
      </w:r>
      <w:r w:rsidR="00FF7C1B">
        <w:rPr>
          <w:rFonts w:ascii="Arial" w:hAnsi="Arial" w:cs="Arial"/>
          <w:sz w:val="20"/>
          <w:szCs w:val="20"/>
        </w:rPr>
        <w:t> ;</w:t>
      </w:r>
      <w:r w:rsidR="006F3B16">
        <w:rPr>
          <w:rFonts w:ascii="Arial" w:hAnsi="Arial" w:cs="Arial"/>
          <w:sz w:val="20"/>
          <w:szCs w:val="20"/>
        </w:rPr>
        <w:t xml:space="preserve"> </w:t>
      </w:r>
      <w:r w:rsidR="00DD2A2E">
        <w:rPr>
          <w:rFonts w:ascii="Arial" w:hAnsi="Arial" w:cs="Arial"/>
          <w:sz w:val="20"/>
          <w:szCs w:val="20"/>
        </w:rPr>
        <w:t xml:space="preserve">un décret en Conseil d’Etat doit préciser les modalités du lissage et </w:t>
      </w:r>
      <w:r w:rsidR="006F3B16">
        <w:rPr>
          <w:rFonts w:ascii="Arial" w:hAnsi="Arial" w:cs="Arial"/>
          <w:sz w:val="20"/>
          <w:szCs w:val="20"/>
        </w:rPr>
        <w:t>d</w:t>
      </w:r>
      <w:r w:rsidR="00790ADA">
        <w:rPr>
          <w:rFonts w:ascii="Arial" w:hAnsi="Arial" w:cs="Arial"/>
          <w:sz w:val="20"/>
          <w:szCs w:val="20"/>
        </w:rPr>
        <w:t xml:space="preserve">es </w:t>
      </w:r>
      <w:r w:rsidR="00FF7C1B">
        <w:rPr>
          <w:rFonts w:ascii="Arial" w:hAnsi="Arial" w:cs="Arial"/>
          <w:sz w:val="20"/>
          <w:szCs w:val="20"/>
        </w:rPr>
        <w:t xml:space="preserve">projections et des </w:t>
      </w:r>
      <w:r w:rsidR="00790ADA">
        <w:rPr>
          <w:rFonts w:ascii="Arial" w:hAnsi="Arial" w:cs="Arial"/>
          <w:sz w:val="20"/>
          <w:szCs w:val="20"/>
        </w:rPr>
        <w:t xml:space="preserve">adaptations seront sans doute présentées </w:t>
      </w:r>
      <w:r w:rsidR="006111F1">
        <w:rPr>
          <w:rFonts w:ascii="Arial" w:hAnsi="Arial" w:cs="Arial"/>
          <w:sz w:val="20"/>
          <w:szCs w:val="20"/>
        </w:rPr>
        <w:t xml:space="preserve">dans le courant de l’année </w:t>
      </w:r>
      <w:r w:rsidR="00790ADA">
        <w:rPr>
          <w:rFonts w:ascii="Arial" w:hAnsi="Arial" w:cs="Arial"/>
          <w:sz w:val="20"/>
          <w:szCs w:val="20"/>
        </w:rPr>
        <w:t>2023.</w:t>
      </w:r>
    </w:p>
    <w:p w14:paraId="73444A23" w14:textId="77777777" w:rsidR="00C86DE7" w:rsidRPr="003B254A" w:rsidRDefault="00971959" w:rsidP="00C86DE7">
      <w:pPr>
        <w:spacing w:before="100" w:beforeAutospacing="1" w:after="100" w:afterAutospacing="1" w:line="240" w:lineRule="auto"/>
        <w:outlineLvl w:val="1"/>
        <w:rPr>
          <w:rFonts w:ascii="Arial" w:eastAsia="Times New Roman" w:hAnsi="Arial" w:cs="Arial"/>
          <w:b/>
          <w:bCs/>
          <w:sz w:val="20"/>
          <w:szCs w:val="20"/>
          <w:lang w:eastAsia="fr-FR"/>
        </w:rPr>
      </w:pPr>
      <w:r w:rsidRPr="003B254A">
        <w:rPr>
          <w:rFonts w:ascii="Arial" w:eastAsia="Times New Roman" w:hAnsi="Arial" w:cs="Arial"/>
          <w:b/>
          <w:bCs/>
          <w:sz w:val="20"/>
          <w:szCs w:val="20"/>
          <w:lang w:eastAsia="fr-FR"/>
        </w:rPr>
        <w:lastRenderedPageBreak/>
        <w:t>2.2 – La s</w:t>
      </w:r>
      <w:r w:rsidR="00C86DE7" w:rsidRPr="003B254A">
        <w:rPr>
          <w:rFonts w:ascii="Arial" w:eastAsia="Times New Roman" w:hAnsi="Arial" w:cs="Arial"/>
          <w:b/>
          <w:bCs/>
          <w:sz w:val="20"/>
          <w:szCs w:val="20"/>
          <w:lang w:eastAsia="fr-FR"/>
        </w:rPr>
        <w:t>tabilisation des concours de l’Etat aux collectivités</w:t>
      </w:r>
      <w:r w:rsidR="001A6EF9" w:rsidRPr="003B254A">
        <w:rPr>
          <w:rFonts w:ascii="Arial" w:eastAsia="Times New Roman" w:hAnsi="Arial" w:cs="Arial"/>
          <w:b/>
          <w:bCs/>
          <w:sz w:val="20"/>
          <w:szCs w:val="20"/>
          <w:lang w:eastAsia="fr-FR"/>
        </w:rPr>
        <w:t xml:space="preserve"> et autres mesures</w:t>
      </w:r>
    </w:p>
    <w:p w14:paraId="1DDD28A3" w14:textId="77777777" w:rsidR="0012533A" w:rsidRPr="00C75FA7" w:rsidRDefault="0012533A" w:rsidP="0012533A">
      <w:pPr>
        <w:jc w:val="both"/>
        <w:rPr>
          <w:rFonts w:ascii="Arial" w:eastAsia="Times New Roman" w:hAnsi="Arial" w:cs="Arial"/>
          <w:sz w:val="20"/>
          <w:szCs w:val="20"/>
          <w:lang w:eastAsia="fr-FR"/>
        </w:rPr>
      </w:pPr>
      <w:r w:rsidRPr="00276164">
        <w:rPr>
          <w:rFonts w:ascii="Arial" w:eastAsia="Times New Roman" w:hAnsi="Arial" w:cs="Arial"/>
          <w:bCs/>
          <w:sz w:val="20"/>
          <w:szCs w:val="20"/>
          <w:lang w:eastAsia="fr-FR"/>
        </w:rPr>
        <w:t>Le montant d</w:t>
      </w:r>
      <w:r w:rsidR="00276164" w:rsidRPr="00276164">
        <w:rPr>
          <w:rFonts w:ascii="Arial" w:eastAsia="Times New Roman" w:hAnsi="Arial" w:cs="Arial"/>
          <w:bCs/>
          <w:sz w:val="20"/>
          <w:szCs w:val="20"/>
          <w:lang w:eastAsia="fr-FR"/>
        </w:rPr>
        <w:t xml:space="preserve">es concours financiers </w:t>
      </w:r>
      <w:r w:rsidR="00C55095">
        <w:rPr>
          <w:rFonts w:ascii="Arial" w:eastAsia="Times New Roman" w:hAnsi="Arial" w:cs="Arial"/>
          <w:bCs/>
          <w:sz w:val="20"/>
          <w:szCs w:val="20"/>
          <w:lang w:eastAsia="fr-FR"/>
        </w:rPr>
        <w:t xml:space="preserve">s’élève à 52,7 Mds€, en </w:t>
      </w:r>
      <w:r w:rsidR="00375498">
        <w:rPr>
          <w:rFonts w:ascii="Arial" w:eastAsia="Times New Roman" w:hAnsi="Arial" w:cs="Arial"/>
          <w:sz w:val="20"/>
          <w:szCs w:val="20"/>
          <w:lang w:eastAsia="fr-FR"/>
        </w:rPr>
        <w:t>augment</w:t>
      </w:r>
      <w:r w:rsidR="00C55095">
        <w:rPr>
          <w:rFonts w:ascii="Arial" w:eastAsia="Times New Roman" w:hAnsi="Arial" w:cs="Arial"/>
          <w:sz w:val="20"/>
          <w:szCs w:val="20"/>
          <w:lang w:eastAsia="fr-FR"/>
        </w:rPr>
        <w:t>ation</w:t>
      </w:r>
      <w:r w:rsidR="009102D1" w:rsidRPr="00C75FA7">
        <w:rPr>
          <w:rFonts w:ascii="Arial" w:eastAsia="Times New Roman" w:hAnsi="Arial" w:cs="Arial"/>
          <w:sz w:val="20"/>
          <w:szCs w:val="20"/>
          <w:lang w:eastAsia="fr-FR"/>
        </w:rPr>
        <w:t xml:space="preserve"> de 264 M€. Les principaux mouvements concernent la baisse des concours liés à la crise sanitaire avec la suppression de certaines dotations exceptionnelles (achat de masques…) et la réduction du</w:t>
      </w:r>
      <w:r w:rsidR="00C75FA7">
        <w:rPr>
          <w:rFonts w:ascii="Arial" w:eastAsia="Times New Roman" w:hAnsi="Arial" w:cs="Arial"/>
          <w:sz w:val="20"/>
          <w:szCs w:val="20"/>
          <w:lang w:eastAsia="fr-FR"/>
        </w:rPr>
        <w:t xml:space="preserve"> dispositif de compensation de pertes de recettes ainsi que l’augmentation des crédits de la dotation de soutien à l’investissement local (DSIL) du bloc communal.</w:t>
      </w:r>
    </w:p>
    <w:p w14:paraId="486CBBDF" w14:textId="77777777" w:rsidR="00594499" w:rsidRPr="009B2D94" w:rsidRDefault="0012533A" w:rsidP="006D29FE">
      <w:pPr>
        <w:jc w:val="both"/>
        <w:rPr>
          <w:rFonts w:ascii="Arial" w:eastAsia="Times New Roman" w:hAnsi="Arial" w:cs="Arial"/>
          <w:bCs/>
          <w:sz w:val="20"/>
          <w:szCs w:val="20"/>
          <w:lang w:eastAsia="fr-FR"/>
        </w:rPr>
      </w:pPr>
      <w:r w:rsidRPr="009B2D94">
        <w:rPr>
          <w:rFonts w:ascii="Arial" w:eastAsia="Times New Roman" w:hAnsi="Arial" w:cs="Arial"/>
          <w:bCs/>
          <w:sz w:val="20"/>
          <w:szCs w:val="20"/>
          <w:lang w:eastAsia="fr-FR"/>
        </w:rPr>
        <w:t>A sein de ces concours, l</w:t>
      </w:r>
      <w:r w:rsidR="00D8683F" w:rsidRPr="009B2D94">
        <w:rPr>
          <w:rFonts w:ascii="Arial" w:eastAsia="Times New Roman" w:hAnsi="Arial" w:cs="Arial"/>
          <w:bCs/>
          <w:sz w:val="20"/>
          <w:szCs w:val="20"/>
          <w:lang w:eastAsia="fr-FR"/>
        </w:rPr>
        <w:t xml:space="preserve">a </w:t>
      </w:r>
      <w:r w:rsidR="00A51F6D" w:rsidRPr="009B2D94">
        <w:rPr>
          <w:rFonts w:ascii="Arial" w:eastAsia="Times New Roman" w:hAnsi="Arial" w:cs="Arial"/>
          <w:bCs/>
          <w:sz w:val="20"/>
          <w:szCs w:val="20"/>
          <w:lang w:eastAsia="fr-FR"/>
        </w:rPr>
        <w:t>dotation globale de fonctionnement (</w:t>
      </w:r>
      <w:r w:rsidR="00D8683F" w:rsidRPr="009B2D94">
        <w:rPr>
          <w:rFonts w:ascii="Arial" w:eastAsia="Times New Roman" w:hAnsi="Arial" w:cs="Arial"/>
          <w:bCs/>
          <w:sz w:val="20"/>
          <w:szCs w:val="20"/>
          <w:lang w:eastAsia="fr-FR"/>
        </w:rPr>
        <w:t>DGF</w:t>
      </w:r>
      <w:r w:rsidR="00A51F6D" w:rsidRPr="009B2D94">
        <w:rPr>
          <w:rFonts w:ascii="Arial" w:eastAsia="Times New Roman" w:hAnsi="Arial" w:cs="Arial"/>
          <w:bCs/>
          <w:sz w:val="20"/>
          <w:szCs w:val="20"/>
          <w:lang w:eastAsia="fr-FR"/>
        </w:rPr>
        <w:t xml:space="preserve">) </w:t>
      </w:r>
      <w:r w:rsidR="00D8683F" w:rsidRPr="009B2D94">
        <w:rPr>
          <w:rFonts w:ascii="Arial" w:eastAsia="Times New Roman" w:hAnsi="Arial" w:cs="Arial"/>
          <w:bCs/>
          <w:sz w:val="20"/>
          <w:szCs w:val="20"/>
          <w:lang w:eastAsia="fr-FR"/>
        </w:rPr>
        <w:t>reste stable en 2021, avec 18,</w:t>
      </w:r>
      <w:r w:rsidR="009B2D94" w:rsidRPr="009B2D94">
        <w:rPr>
          <w:rFonts w:ascii="Arial" w:eastAsia="Times New Roman" w:hAnsi="Arial" w:cs="Arial"/>
          <w:bCs/>
          <w:sz w:val="20"/>
          <w:szCs w:val="20"/>
          <w:lang w:eastAsia="fr-FR"/>
        </w:rPr>
        <w:t>3</w:t>
      </w:r>
      <w:r w:rsidR="00D8683F" w:rsidRPr="009B2D94">
        <w:rPr>
          <w:rFonts w:ascii="Arial" w:eastAsia="Times New Roman" w:hAnsi="Arial" w:cs="Arial"/>
          <w:bCs/>
          <w:sz w:val="20"/>
          <w:szCs w:val="20"/>
          <w:lang w:eastAsia="fr-FR"/>
        </w:rPr>
        <w:t xml:space="preserve"> milliards d’eu</w:t>
      </w:r>
      <w:r w:rsidR="009B2D94" w:rsidRPr="009B2D94">
        <w:rPr>
          <w:rFonts w:ascii="Arial" w:eastAsia="Times New Roman" w:hAnsi="Arial" w:cs="Arial"/>
          <w:bCs/>
          <w:sz w:val="20"/>
          <w:szCs w:val="20"/>
          <w:lang w:eastAsia="fr-FR"/>
        </w:rPr>
        <w:t>ros pour le bloc communal et 8,5</w:t>
      </w:r>
      <w:r w:rsidR="00D8683F" w:rsidRPr="009B2D94">
        <w:rPr>
          <w:rFonts w:ascii="Arial" w:eastAsia="Times New Roman" w:hAnsi="Arial" w:cs="Arial"/>
          <w:bCs/>
          <w:sz w:val="20"/>
          <w:szCs w:val="20"/>
          <w:lang w:eastAsia="fr-FR"/>
        </w:rPr>
        <w:t xml:space="preserve"> milliards pour les départements</w:t>
      </w:r>
      <w:r w:rsidR="009B2D94" w:rsidRPr="009B2D94">
        <w:rPr>
          <w:rFonts w:ascii="Arial" w:eastAsia="Times New Roman" w:hAnsi="Arial" w:cs="Arial"/>
          <w:bCs/>
          <w:sz w:val="20"/>
          <w:szCs w:val="20"/>
          <w:lang w:eastAsia="fr-FR"/>
        </w:rPr>
        <w:t>, s</w:t>
      </w:r>
      <w:r w:rsidR="00A51F6D" w:rsidRPr="009B2D94">
        <w:rPr>
          <w:rFonts w:ascii="Arial" w:eastAsia="Times New Roman" w:hAnsi="Arial" w:cs="Arial"/>
          <w:bCs/>
          <w:sz w:val="20"/>
          <w:szCs w:val="20"/>
          <w:lang w:eastAsia="fr-FR"/>
        </w:rPr>
        <w:t>oit 26,8 milliards au total.</w:t>
      </w:r>
    </w:p>
    <w:p w14:paraId="0E703EDE" w14:textId="77777777" w:rsidR="00594499" w:rsidRPr="006D29FE" w:rsidRDefault="00907ED5" w:rsidP="006D29FE">
      <w:pPr>
        <w:jc w:val="both"/>
        <w:rPr>
          <w:rFonts w:ascii="Arial" w:eastAsia="Times New Roman" w:hAnsi="Arial" w:cs="Arial"/>
          <w:bCs/>
          <w:sz w:val="20"/>
          <w:szCs w:val="20"/>
          <w:lang w:eastAsia="fr-FR"/>
        </w:rPr>
      </w:pPr>
      <w:r w:rsidRPr="006D29FE">
        <w:rPr>
          <w:rFonts w:ascii="Arial" w:eastAsia="Times New Roman" w:hAnsi="Arial" w:cs="Arial"/>
          <w:bCs/>
          <w:sz w:val="20"/>
          <w:szCs w:val="20"/>
          <w:lang w:eastAsia="fr-FR"/>
        </w:rPr>
        <w:t>Le pro</w:t>
      </w:r>
      <w:r w:rsidR="00DD52CB" w:rsidRPr="006D29FE">
        <w:rPr>
          <w:rFonts w:ascii="Arial" w:eastAsia="Times New Roman" w:hAnsi="Arial" w:cs="Arial"/>
          <w:bCs/>
          <w:sz w:val="20"/>
          <w:szCs w:val="20"/>
          <w:lang w:eastAsia="fr-FR"/>
        </w:rPr>
        <w:t>jet de loi de finances pour 2022</w:t>
      </w:r>
      <w:r w:rsidRPr="006D29FE">
        <w:rPr>
          <w:rFonts w:ascii="Arial" w:eastAsia="Times New Roman" w:hAnsi="Arial" w:cs="Arial"/>
          <w:bCs/>
          <w:sz w:val="20"/>
          <w:szCs w:val="20"/>
          <w:lang w:eastAsia="fr-FR"/>
        </w:rPr>
        <w:t xml:space="preserve"> prévoit une </w:t>
      </w:r>
      <w:proofErr w:type="gramStart"/>
      <w:r w:rsidRPr="006D29FE">
        <w:rPr>
          <w:rFonts w:ascii="Arial" w:eastAsia="Times New Roman" w:hAnsi="Arial" w:cs="Arial"/>
          <w:bCs/>
          <w:sz w:val="20"/>
          <w:szCs w:val="20"/>
          <w:lang w:eastAsia="fr-FR"/>
        </w:rPr>
        <w:t xml:space="preserve">hausse </w:t>
      </w:r>
      <w:r w:rsidR="00F210F0" w:rsidRPr="006D29FE">
        <w:rPr>
          <w:rFonts w:ascii="Arial" w:eastAsia="Times New Roman" w:hAnsi="Arial" w:cs="Arial"/>
          <w:bCs/>
          <w:sz w:val="20"/>
          <w:szCs w:val="20"/>
          <w:lang w:eastAsia="fr-FR"/>
        </w:rPr>
        <w:t xml:space="preserve"> de</w:t>
      </w:r>
      <w:proofErr w:type="gramEnd"/>
      <w:r w:rsidR="00F210F0" w:rsidRPr="006D29FE">
        <w:rPr>
          <w:rFonts w:ascii="Arial" w:eastAsia="Times New Roman" w:hAnsi="Arial" w:cs="Arial"/>
          <w:bCs/>
          <w:sz w:val="20"/>
          <w:szCs w:val="20"/>
          <w:lang w:eastAsia="fr-FR"/>
        </w:rPr>
        <w:t xml:space="preserve"> </w:t>
      </w:r>
      <w:r w:rsidRPr="006D29FE">
        <w:rPr>
          <w:rFonts w:ascii="Arial" w:eastAsia="Times New Roman" w:hAnsi="Arial" w:cs="Arial"/>
          <w:bCs/>
          <w:sz w:val="20"/>
          <w:szCs w:val="20"/>
          <w:lang w:eastAsia="fr-FR"/>
        </w:rPr>
        <w:t>la dotation de solidarité urbaine (DSU) et la dotation de solidarité r</w:t>
      </w:r>
      <w:r w:rsidR="00DD52CB" w:rsidRPr="006D29FE">
        <w:rPr>
          <w:rFonts w:ascii="Arial" w:eastAsia="Times New Roman" w:hAnsi="Arial" w:cs="Arial"/>
          <w:bCs/>
          <w:sz w:val="20"/>
          <w:szCs w:val="20"/>
          <w:lang w:eastAsia="fr-FR"/>
        </w:rPr>
        <w:t>urale (DSR) de 95</w:t>
      </w:r>
      <w:r w:rsidRPr="006D29FE">
        <w:rPr>
          <w:rFonts w:ascii="Arial" w:eastAsia="Times New Roman" w:hAnsi="Arial" w:cs="Arial"/>
          <w:bCs/>
          <w:sz w:val="20"/>
          <w:szCs w:val="20"/>
          <w:lang w:eastAsia="fr-FR"/>
        </w:rPr>
        <w:t xml:space="preserve"> M€ chacune</w:t>
      </w:r>
      <w:r w:rsidR="00DD52CB" w:rsidRPr="006D29FE">
        <w:rPr>
          <w:rFonts w:ascii="Arial" w:eastAsia="Times New Roman" w:hAnsi="Arial" w:cs="Arial"/>
          <w:bCs/>
          <w:sz w:val="20"/>
          <w:szCs w:val="20"/>
          <w:lang w:eastAsia="fr-FR"/>
        </w:rPr>
        <w:t xml:space="preserve">, contre 90 M€ </w:t>
      </w:r>
      <w:r w:rsidR="009B2D94" w:rsidRPr="006D29FE">
        <w:rPr>
          <w:rFonts w:ascii="Arial" w:eastAsia="Times New Roman" w:hAnsi="Arial" w:cs="Arial"/>
          <w:bCs/>
          <w:sz w:val="20"/>
          <w:szCs w:val="20"/>
          <w:lang w:eastAsia="fr-FR"/>
        </w:rPr>
        <w:t>les trois dernières années</w:t>
      </w:r>
      <w:r w:rsidR="00234BEE" w:rsidRPr="006D29FE">
        <w:rPr>
          <w:rFonts w:ascii="Arial" w:eastAsia="Times New Roman" w:hAnsi="Arial" w:cs="Arial"/>
          <w:bCs/>
          <w:sz w:val="20"/>
          <w:szCs w:val="20"/>
          <w:lang w:eastAsia="fr-FR"/>
        </w:rPr>
        <w:t>. Comme habituellement, l’augmentation est financée par l’écrêtement de la dotation forfaitaire.</w:t>
      </w:r>
    </w:p>
    <w:p w14:paraId="032890DC" w14:textId="77777777" w:rsidR="00AD67DC" w:rsidRPr="006D29FE" w:rsidRDefault="00AD67DC" w:rsidP="003B5974">
      <w:pPr>
        <w:jc w:val="both"/>
        <w:rPr>
          <w:rFonts w:ascii="Arial" w:eastAsia="Times New Roman" w:hAnsi="Arial" w:cs="Arial"/>
          <w:bCs/>
          <w:sz w:val="20"/>
          <w:szCs w:val="20"/>
          <w:lang w:eastAsia="fr-FR"/>
        </w:rPr>
      </w:pPr>
      <w:r w:rsidRPr="006D29FE">
        <w:rPr>
          <w:rFonts w:ascii="Arial" w:eastAsia="Times New Roman" w:hAnsi="Arial" w:cs="Arial"/>
          <w:bCs/>
          <w:sz w:val="20"/>
          <w:szCs w:val="20"/>
          <w:lang w:eastAsia="fr-FR"/>
        </w:rPr>
        <w:t>La loi de finances pour 2021 a</w:t>
      </w:r>
      <w:r w:rsidR="00AB6935" w:rsidRPr="006D29FE">
        <w:rPr>
          <w:rFonts w:ascii="Arial" w:eastAsia="Times New Roman" w:hAnsi="Arial" w:cs="Arial"/>
          <w:bCs/>
          <w:sz w:val="20"/>
          <w:szCs w:val="20"/>
          <w:lang w:eastAsia="fr-FR"/>
        </w:rPr>
        <w:t>vait</w:t>
      </w:r>
      <w:r w:rsidRPr="006D29FE">
        <w:rPr>
          <w:rFonts w:ascii="Arial" w:eastAsia="Times New Roman" w:hAnsi="Arial" w:cs="Arial"/>
          <w:bCs/>
          <w:sz w:val="20"/>
          <w:szCs w:val="20"/>
          <w:lang w:eastAsia="fr-FR"/>
        </w:rPr>
        <w:t xml:space="preserve"> acté l’automatisation progressive du FCTVA</w:t>
      </w:r>
      <w:r w:rsidR="00AB6935" w:rsidRPr="006D29FE">
        <w:rPr>
          <w:rFonts w:ascii="Arial" w:eastAsia="Times New Roman" w:hAnsi="Arial" w:cs="Arial"/>
          <w:bCs/>
          <w:sz w:val="20"/>
          <w:szCs w:val="20"/>
          <w:lang w:eastAsia="fr-FR"/>
        </w:rPr>
        <w:t xml:space="preserve"> pour une généralisation en 2023</w:t>
      </w:r>
      <w:r w:rsidRPr="006D29FE">
        <w:rPr>
          <w:rFonts w:ascii="Arial" w:eastAsia="Times New Roman" w:hAnsi="Arial" w:cs="Arial"/>
          <w:bCs/>
          <w:sz w:val="20"/>
          <w:szCs w:val="20"/>
          <w:lang w:eastAsia="fr-FR"/>
        </w:rPr>
        <w:t xml:space="preserve">, ce concours financier de l'Etat </w:t>
      </w:r>
      <w:r w:rsidR="00AB6935" w:rsidRPr="006D29FE">
        <w:rPr>
          <w:rFonts w:ascii="Arial" w:eastAsia="Times New Roman" w:hAnsi="Arial" w:cs="Arial"/>
          <w:bCs/>
          <w:sz w:val="20"/>
          <w:szCs w:val="20"/>
          <w:lang w:eastAsia="fr-FR"/>
        </w:rPr>
        <w:t xml:space="preserve">représentant </w:t>
      </w:r>
      <w:r w:rsidRPr="006D29FE">
        <w:rPr>
          <w:rFonts w:ascii="Arial" w:eastAsia="Times New Roman" w:hAnsi="Arial" w:cs="Arial"/>
          <w:bCs/>
          <w:sz w:val="20"/>
          <w:szCs w:val="20"/>
          <w:lang w:eastAsia="fr-FR"/>
        </w:rPr>
        <w:t xml:space="preserve">6,5 Mds€ en 2022. </w:t>
      </w:r>
      <w:r w:rsidR="00AB6935" w:rsidRPr="006D29FE">
        <w:rPr>
          <w:rFonts w:ascii="Arial" w:eastAsia="Times New Roman" w:hAnsi="Arial" w:cs="Arial"/>
          <w:bCs/>
          <w:sz w:val="20"/>
          <w:szCs w:val="20"/>
          <w:lang w:eastAsia="fr-FR"/>
        </w:rPr>
        <w:t>L'automatisation</w:t>
      </w:r>
      <w:r w:rsidRPr="006D29FE">
        <w:rPr>
          <w:rFonts w:ascii="Arial" w:eastAsia="Times New Roman" w:hAnsi="Arial" w:cs="Arial"/>
          <w:bCs/>
          <w:sz w:val="20"/>
          <w:szCs w:val="20"/>
          <w:lang w:eastAsia="fr-FR"/>
        </w:rPr>
        <w:t xml:space="preserve"> a débuté avec certaines catégories de collectivités </w:t>
      </w:r>
      <w:r w:rsidR="00AB6935" w:rsidRPr="006D29FE">
        <w:rPr>
          <w:rFonts w:ascii="Arial" w:eastAsia="Times New Roman" w:hAnsi="Arial" w:cs="Arial"/>
          <w:bCs/>
          <w:sz w:val="20"/>
          <w:szCs w:val="20"/>
          <w:lang w:eastAsia="fr-FR"/>
        </w:rPr>
        <w:t xml:space="preserve">et d’EPCI en 2021 et </w:t>
      </w:r>
      <w:r w:rsidRPr="006D29FE">
        <w:rPr>
          <w:rFonts w:ascii="Arial" w:eastAsia="Times New Roman" w:hAnsi="Arial" w:cs="Arial"/>
          <w:bCs/>
          <w:sz w:val="20"/>
          <w:szCs w:val="20"/>
          <w:lang w:eastAsia="fr-FR"/>
        </w:rPr>
        <w:t>concerne cette année les collectivités et</w:t>
      </w:r>
      <w:r w:rsidR="00AB6935" w:rsidRPr="006D29FE">
        <w:rPr>
          <w:rFonts w:ascii="Arial" w:eastAsia="Times New Roman" w:hAnsi="Arial" w:cs="Arial"/>
          <w:bCs/>
          <w:sz w:val="20"/>
          <w:szCs w:val="20"/>
          <w:lang w:eastAsia="fr-FR"/>
        </w:rPr>
        <w:t xml:space="preserve"> les</w:t>
      </w:r>
      <w:r w:rsidRPr="006D29FE">
        <w:rPr>
          <w:rFonts w:ascii="Arial" w:eastAsia="Times New Roman" w:hAnsi="Arial" w:cs="Arial"/>
          <w:bCs/>
          <w:sz w:val="20"/>
          <w:szCs w:val="20"/>
          <w:lang w:eastAsia="fr-FR"/>
        </w:rPr>
        <w:t xml:space="preserve"> groupements qui avaient participé au plan de relance de 2009-2010</w:t>
      </w:r>
      <w:r w:rsidR="00AB6935" w:rsidRPr="006D29FE">
        <w:rPr>
          <w:rFonts w:ascii="Arial" w:eastAsia="Times New Roman" w:hAnsi="Arial" w:cs="Arial"/>
          <w:bCs/>
          <w:sz w:val="20"/>
          <w:szCs w:val="20"/>
          <w:lang w:eastAsia="fr-FR"/>
        </w:rPr>
        <w:t>, ce qui est le cas de la commune</w:t>
      </w:r>
      <w:r w:rsidRPr="006D29FE">
        <w:rPr>
          <w:rFonts w:ascii="Arial" w:eastAsia="Times New Roman" w:hAnsi="Arial" w:cs="Arial"/>
          <w:bCs/>
          <w:sz w:val="20"/>
          <w:szCs w:val="20"/>
          <w:lang w:eastAsia="fr-FR"/>
        </w:rPr>
        <w:t>.</w:t>
      </w:r>
    </w:p>
    <w:p w14:paraId="464A02F7" w14:textId="77777777" w:rsidR="00B103F9" w:rsidRPr="006D29FE" w:rsidRDefault="009939A9" w:rsidP="003B5974">
      <w:pPr>
        <w:jc w:val="both"/>
        <w:rPr>
          <w:rFonts w:ascii="Arial" w:eastAsia="Times New Roman" w:hAnsi="Arial" w:cs="Arial"/>
          <w:bCs/>
          <w:sz w:val="20"/>
          <w:szCs w:val="20"/>
          <w:lang w:eastAsia="fr-FR"/>
        </w:rPr>
      </w:pPr>
      <w:r w:rsidRPr="006D29FE">
        <w:rPr>
          <w:rFonts w:ascii="Arial" w:eastAsia="Times New Roman" w:hAnsi="Arial" w:cs="Arial"/>
          <w:bCs/>
          <w:sz w:val="20"/>
          <w:szCs w:val="20"/>
          <w:lang w:eastAsia="fr-FR"/>
        </w:rPr>
        <w:t xml:space="preserve">Parmi les autres </w:t>
      </w:r>
      <w:r w:rsidR="00192CFE" w:rsidRPr="006D29FE">
        <w:rPr>
          <w:rFonts w:ascii="Arial" w:eastAsia="Times New Roman" w:hAnsi="Arial" w:cs="Arial"/>
          <w:bCs/>
          <w:sz w:val="20"/>
          <w:szCs w:val="20"/>
          <w:lang w:eastAsia="fr-FR"/>
        </w:rPr>
        <w:t>mesur</w:t>
      </w:r>
      <w:r w:rsidR="00B103F9" w:rsidRPr="006D29FE">
        <w:rPr>
          <w:rFonts w:ascii="Arial" w:eastAsia="Times New Roman" w:hAnsi="Arial" w:cs="Arial"/>
          <w:bCs/>
          <w:sz w:val="20"/>
          <w:szCs w:val="20"/>
          <w:lang w:eastAsia="fr-FR"/>
        </w:rPr>
        <w:t xml:space="preserve">es, il convient de noter une habilitation donnée au gouvernement pour réformer le régime de la responsabilité personnelle et pécuniaire du comptable public établi par </w:t>
      </w:r>
      <w:r w:rsidR="00E35EDC" w:rsidRPr="006D29FE">
        <w:rPr>
          <w:rFonts w:ascii="Arial" w:eastAsia="Times New Roman" w:hAnsi="Arial" w:cs="Arial"/>
          <w:bCs/>
          <w:sz w:val="20"/>
          <w:szCs w:val="20"/>
          <w:lang w:eastAsia="fr-FR"/>
        </w:rPr>
        <w:t>la loi de finances pour 1963</w:t>
      </w:r>
      <w:r w:rsidR="00B103F9" w:rsidRPr="006D29FE">
        <w:rPr>
          <w:rFonts w:ascii="Arial" w:eastAsia="Times New Roman" w:hAnsi="Arial" w:cs="Arial"/>
          <w:bCs/>
          <w:sz w:val="20"/>
          <w:szCs w:val="20"/>
          <w:lang w:eastAsia="fr-FR"/>
        </w:rPr>
        <w:t>. Il est prévu d’y substituer un régime unifié entre l’ordonnateur et le comptable</w:t>
      </w:r>
      <w:r w:rsidR="00E35EDC" w:rsidRPr="006D29FE">
        <w:rPr>
          <w:rFonts w:ascii="Arial" w:eastAsia="Times New Roman" w:hAnsi="Arial" w:cs="Arial"/>
          <w:bCs/>
          <w:sz w:val="20"/>
          <w:szCs w:val="20"/>
          <w:lang w:eastAsia="fr-FR"/>
        </w:rPr>
        <w:t>, de réprimer les fautes caractérisées par un impact financier significatif</w:t>
      </w:r>
      <w:r w:rsidR="00B103F9" w:rsidRPr="006D29FE">
        <w:rPr>
          <w:rFonts w:ascii="Arial" w:eastAsia="Times New Roman" w:hAnsi="Arial" w:cs="Arial"/>
          <w:bCs/>
          <w:sz w:val="20"/>
          <w:szCs w:val="20"/>
          <w:lang w:eastAsia="fr-FR"/>
        </w:rPr>
        <w:t xml:space="preserve"> </w:t>
      </w:r>
      <w:r w:rsidR="00E35EDC" w:rsidRPr="006D29FE">
        <w:rPr>
          <w:rFonts w:ascii="Arial" w:eastAsia="Times New Roman" w:hAnsi="Arial" w:cs="Arial"/>
          <w:bCs/>
          <w:sz w:val="20"/>
          <w:szCs w:val="20"/>
          <w:lang w:eastAsia="fr-FR"/>
        </w:rPr>
        <w:t>et de mettre</w:t>
      </w:r>
      <w:r w:rsidR="00B103F9" w:rsidRPr="006D29FE">
        <w:rPr>
          <w:rFonts w:ascii="Arial" w:eastAsia="Times New Roman" w:hAnsi="Arial" w:cs="Arial"/>
          <w:bCs/>
          <w:sz w:val="20"/>
          <w:szCs w:val="20"/>
          <w:lang w:eastAsia="fr-FR"/>
        </w:rPr>
        <w:t xml:space="preserve"> en place une juridiction unifiée</w:t>
      </w:r>
      <w:r w:rsidR="008008DA">
        <w:rPr>
          <w:rFonts w:ascii="Arial" w:eastAsia="Times New Roman" w:hAnsi="Arial" w:cs="Arial"/>
          <w:bCs/>
          <w:sz w:val="20"/>
          <w:szCs w:val="20"/>
          <w:lang w:eastAsia="fr-FR"/>
        </w:rPr>
        <w:t xml:space="preserve"> </w:t>
      </w:r>
      <w:r w:rsidR="00B103F9" w:rsidRPr="006D29FE">
        <w:rPr>
          <w:rFonts w:ascii="Arial" w:eastAsia="Times New Roman" w:hAnsi="Arial" w:cs="Arial"/>
          <w:bCs/>
          <w:sz w:val="20"/>
          <w:szCs w:val="20"/>
          <w:lang w:eastAsia="fr-FR"/>
        </w:rPr>
        <w:t>: une chambre de la Cour des comptes en première instance, la possibilité de faire appel</w:t>
      </w:r>
      <w:r w:rsidR="00E35EDC" w:rsidRPr="006D29FE">
        <w:rPr>
          <w:rFonts w:ascii="Arial" w:eastAsia="Times New Roman" w:hAnsi="Arial" w:cs="Arial"/>
          <w:bCs/>
          <w:sz w:val="20"/>
          <w:szCs w:val="20"/>
          <w:lang w:eastAsia="fr-FR"/>
        </w:rPr>
        <w:t>, l</w:t>
      </w:r>
      <w:r w:rsidR="00B103F9" w:rsidRPr="006D29FE">
        <w:rPr>
          <w:rFonts w:ascii="Arial" w:eastAsia="Times New Roman" w:hAnsi="Arial" w:cs="Arial"/>
          <w:bCs/>
          <w:sz w:val="20"/>
          <w:szCs w:val="20"/>
          <w:lang w:eastAsia="fr-FR"/>
        </w:rPr>
        <w:t>e Conseil d’Etat</w:t>
      </w:r>
      <w:r w:rsidR="00996865" w:rsidRPr="006D29FE">
        <w:rPr>
          <w:rFonts w:ascii="Arial" w:eastAsia="Times New Roman" w:hAnsi="Arial" w:cs="Arial"/>
          <w:bCs/>
          <w:sz w:val="20"/>
          <w:szCs w:val="20"/>
          <w:lang w:eastAsia="fr-FR"/>
        </w:rPr>
        <w:t xml:space="preserve"> demeu</w:t>
      </w:r>
      <w:r w:rsidR="00E35EDC" w:rsidRPr="006D29FE">
        <w:rPr>
          <w:rFonts w:ascii="Arial" w:eastAsia="Times New Roman" w:hAnsi="Arial" w:cs="Arial"/>
          <w:bCs/>
          <w:sz w:val="20"/>
          <w:szCs w:val="20"/>
          <w:lang w:eastAsia="fr-FR"/>
        </w:rPr>
        <w:t>rant la juridiction</w:t>
      </w:r>
      <w:r w:rsidR="00B103F9" w:rsidRPr="006D29FE">
        <w:rPr>
          <w:rFonts w:ascii="Arial" w:eastAsia="Times New Roman" w:hAnsi="Arial" w:cs="Arial"/>
          <w:bCs/>
          <w:sz w:val="20"/>
          <w:szCs w:val="20"/>
          <w:lang w:eastAsia="fr-FR"/>
        </w:rPr>
        <w:t xml:space="preserve"> de cassation.</w:t>
      </w:r>
    </w:p>
    <w:p w14:paraId="20609CAB" w14:textId="77777777" w:rsidR="006D29FE" w:rsidRDefault="009B40D6" w:rsidP="00CF22B9">
      <w:pPr>
        <w:jc w:val="both"/>
        <w:rPr>
          <w:rFonts w:ascii="Arial" w:hAnsi="Arial" w:cs="Arial"/>
          <w:sz w:val="20"/>
          <w:szCs w:val="20"/>
        </w:rPr>
      </w:pPr>
      <w:r w:rsidRPr="009B40D6">
        <w:rPr>
          <w:rFonts w:ascii="Arial" w:hAnsi="Arial" w:cs="Arial"/>
          <w:sz w:val="20"/>
          <w:szCs w:val="20"/>
        </w:rPr>
        <w:t xml:space="preserve">Enfin, </w:t>
      </w:r>
      <w:r>
        <w:rPr>
          <w:rFonts w:ascii="Arial" w:hAnsi="Arial" w:cs="Arial"/>
          <w:sz w:val="20"/>
          <w:szCs w:val="20"/>
        </w:rPr>
        <w:t>le projet de loi de finances prévoit la prise en charge par le CNFPT des frais de formation des apprentis employés par les collectivités territoriales versés aux CFA et la mise en place d’une cotisation spéciale à l’apprentissage fixée au maximum à 0,1% de la masse salariale des collectivités territoriales.</w:t>
      </w:r>
    </w:p>
    <w:p w14:paraId="35671BEC" w14:textId="77777777" w:rsidR="00C3780B" w:rsidRDefault="00C3780B">
      <w:pPr>
        <w:rPr>
          <w:rFonts w:ascii="Arial" w:hAnsi="Arial" w:cs="Arial"/>
          <w:sz w:val="20"/>
          <w:szCs w:val="20"/>
        </w:rPr>
      </w:pPr>
      <w:r>
        <w:rPr>
          <w:rFonts w:ascii="Arial" w:hAnsi="Arial" w:cs="Arial"/>
          <w:sz w:val="20"/>
          <w:szCs w:val="20"/>
        </w:rPr>
        <w:br w:type="page"/>
      </w:r>
    </w:p>
    <w:p w14:paraId="4FA6F15E" w14:textId="77777777" w:rsidR="005009FA" w:rsidRPr="00FE5EE8" w:rsidRDefault="005009FA" w:rsidP="00FC2954">
      <w:pPr>
        <w:rPr>
          <w:rFonts w:ascii="Arial" w:hAnsi="Arial" w:cs="Arial"/>
          <w:color w:val="000000"/>
          <w:sz w:val="20"/>
          <w:szCs w:val="20"/>
        </w:rPr>
      </w:pPr>
      <w:r w:rsidRPr="00FE5EE8">
        <w:rPr>
          <w:rFonts w:ascii="Arial" w:eastAsia="Times New Roman" w:hAnsi="Arial" w:cs="Arial"/>
          <w:b/>
          <w:bCs/>
          <w:sz w:val="20"/>
          <w:szCs w:val="20"/>
          <w:lang w:eastAsia="fr-FR"/>
        </w:rPr>
        <w:lastRenderedPageBreak/>
        <w:t xml:space="preserve">3 – </w:t>
      </w:r>
      <w:r w:rsidR="008148E8">
        <w:rPr>
          <w:rFonts w:ascii="Arial" w:eastAsia="Times New Roman" w:hAnsi="Arial" w:cs="Arial"/>
          <w:b/>
          <w:bCs/>
          <w:sz w:val="20"/>
          <w:szCs w:val="20"/>
          <w:lang w:eastAsia="fr-FR"/>
        </w:rPr>
        <w:t>L’analyse rétrospective</w:t>
      </w:r>
      <w:r w:rsidR="00EF6DDA" w:rsidRPr="00FE5EE8">
        <w:rPr>
          <w:rFonts w:ascii="Arial" w:eastAsia="Times New Roman" w:hAnsi="Arial" w:cs="Arial"/>
          <w:b/>
          <w:bCs/>
          <w:sz w:val="20"/>
          <w:szCs w:val="20"/>
          <w:lang w:eastAsia="fr-FR"/>
        </w:rPr>
        <w:t xml:space="preserve"> et la projection </w:t>
      </w:r>
      <w:r w:rsidR="00865160" w:rsidRPr="00FE5EE8">
        <w:rPr>
          <w:rFonts w:ascii="Arial" w:eastAsia="Times New Roman" w:hAnsi="Arial" w:cs="Arial"/>
          <w:b/>
          <w:bCs/>
          <w:sz w:val="20"/>
          <w:szCs w:val="20"/>
          <w:lang w:eastAsia="fr-FR"/>
        </w:rPr>
        <w:t>financière</w:t>
      </w:r>
    </w:p>
    <w:p w14:paraId="52868BAC" w14:textId="77777777" w:rsidR="001A6EF9" w:rsidRPr="00FE5EE8" w:rsidRDefault="00865160" w:rsidP="003B2259">
      <w:pPr>
        <w:spacing w:before="100" w:beforeAutospacing="1" w:after="100" w:afterAutospacing="1" w:line="240" w:lineRule="auto"/>
        <w:outlineLvl w:val="1"/>
        <w:rPr>
          <w:rFonts w:ascii="Arial" w:eastAsia="Times New Roman" w:hAnsi="Arial" w:cs="Arial"/>
          <w:b/>
          <w:bCs/>
          <w:sz w:val="20"/>
          <w:szCs w:val="20"/>
          <w:lang w:eastAsia="fr-FR"/>
        </w:rPr>
      </w:pPr>
      <w:r w:rsidRPr="00FE5EE8">
        <w:rPr>
          <w:rFonts w:ascii="Arial" w:eastAsia="Times New Roman" w:hAnsi="Arial" w:cs="Arial"/>
          <w:b/>
          <w:bCs/>
          <w:sz w:val="20"/>
          <w:szCs w:val="20"/>
          <w:lang w:eastAsia="fr-FR"/>
        </w:rPr>
        <w:t>3.1 – Les recettes de fonctionnement</w:t>
      </w:r>
    </w:p>
    <w:p w14:paraId="0EA92E3D" w14:textId="77777777" w:rsidR="00572E5E" w:rsidRPr="00FE5EE8" w:rsidRDefault="00572E5E" w:rsidP="00865160">
      <w:pPr>
        <w:autoSpaceDE w:val="0"/>
        <w:autoSpaceDN w:val="0"/>
        <w:adjustRightInd w:val="0"/>
        <w:jc w:val="both"/>
        <w:rPr>
          <w:rFonts w:ascii="Arial" w:hAnsi="Arial" w:cs="Arial"/>
          <w:color w:val="000000"/>
          <w:sz w:val="20"/>
          <w:szCs w:val="20"/>
          <w:u w:val="single"/>
        </w:rPr>
      </w:pPr>
      <w:r w:rsidRPr="00FE5EE8">
        <w:rPr>
          <w:rFonts w:ascii="Arial" w:hAnsi="Arial" w:cs="Arial"/>
          <w:color w:val="000000"/>
          <w:sz w:val="20"/>
          <w:szCs w:val="20"/>
          <w:u w:val="single"/>
        </w:rPr>
        <w:t>La fiscalité</w:t>
      </w:r>
    </w:p>
    <w:p w14:paraId="0B5F8B18" w14:textId="77777777" w:rsidR="006808C1" w:rsidRPr="00FE5EE8" w:rsidRDefault="00680BD5" w:rsidP="00865160">
      <w:pPr>
        <w:autoSpaceDE w:val="0"/>
        <w:autoSpaceDN w:val="0"/>
        <w:adjustRightInd w:val="0"/>
        <w:jc w:val="both"/>
        <w:rPr>
          <w:rFonts w:ascii="Arial" w:hAnsi="Arial" w:cs="Arial"/>
          <w:color w:val="000000"/>
          <w:sz w:val="20"/>
          <w:szCs w:val="20"/>
        </w:rPr>
      </w:pPr>
      <w:r w:rsidRPr="00FE5EE8">
        <w:rPr>
          <w:rFonts w:ascii="Arial" w:hAnsi="Arial" w:cs="Arial"/>
          <w:color w:val="000000"/>
          <w:sz w:val="20"/>
          <w:szCs w:val="20"/>
        </w:rPr>
        <w:t>E</w:t>
      </w:r>
      <w:r w:rsidR="006808C1" w:rsidRPr="00FE5EE8">
        <w:rPr>
          <w:rFonts w:ascii="Arial" w:hAnsi="Arial" w:cs="Arial"/>
          <w:color w:val="000000"/>
          <w:sz w:val="20"/>
          <w:szCs w:val="20"/>
        </w:rPr>
        <w:t>vol</w:t>
      </w:r>
      <w:r w:rsidRPr="00FE5EE8">
        <w:rPr>
          <w:rFonts w:ascii="Arial" w:hAnsi="Arial" w:cs="Arial"/>
          <w:color w:val="000000"/>
          <w:sz w:val="20"/>
          <w:szCs w:val="20"/>
        </w:rPr>
        <w:t>u</w:t>
      </w:r>
      <w:r w:rsidR="006808C1" w:rsidRPr="00FE5EE8">
        <w:rPr>
          <w:rFonts w:ascii="Arial" w:hAnsi="Arial" w:cs="Arial"/>
          <w:color w:val="000000"/>
          <w:sz w:val="20"/>
          <w:szCs w:val="20"/>
        </w:rPr>
        <w:t>tion des bases et des taux</w:t>
      </w:r>
    </w:p>
    <w:tbl>
      <w:tblPr>
        <w:tblStyle w:val="Grilledutableau"/>
        <w:tblW w:w="9354" w:type="dxa"/>
        <w:tblLayout w:type="fixed"/>
        <w:tblLook w:val="04A0" w:firstRow="1" w:lastRow="0" w:firstColumn="1" w:lastColumn="0" w:noHBand="0" w:noVBand="1"/>
      </w:tblPr>
      <w:tblGrid>
        <w:gridCol w:w="1418"/>
        <w:gridCol w:w="992"/>
        <w:gridCol w:w="992"/>
        <w:gridCol w:w="992"/>
        <w:gridCol w:w="992"/>
        <w:gridCol w:w="992"/>
        <w:gridCol w:w="992"/>
        <w:gridCol w:w="992"/>
        <w:gridCol w:w="992"/>
      </w:tblGrid>
      <w:tr w:rsidR="00A653FB" w:rsidRPr="00FE5EE8" w14:paraId="6E4BF667" w14:textId="77777777" w:rsidTr="00A653FB">
        <w:tc>
          <w:tcPr>
            <w:tcW w:w="1418" w:type="dxa"/>
            <w:tcBorders>
              <w:top w:val="nil"/>
              <w:left w:val="nil"/>
            </w:tcBorders>
          </w:tcPr>
          <w:p w14:paraId="6B67BC48" w14:textId="77777777" w:rsidR="00A653FB" w:rsidRPr="00FE5EE8" w:rsidRDefault="00A653FB" w:rsidP="006808C1">
            <w:pPr>
              <w:spacing w:before="60" w:after="60"/>
              <w:jc w:val="center"/>
              <w:outlineLvl w:val="1"/>
              <w:rPr>
                <w:rFonts w:ascii="Arial" w:eastAsia="Times New Roman" w:hAnsi="Arial" w:cs="Arial"/>
                <w:bCs/>
                <w:sz w:val="16"/>
                <w:szCs w:val="16"/>
                <w:lang w:eastAsia="fr-FR"/>
              </w:rPr>
            </w:pPr>
          </w:p>
        </w:tc>
        <w:tc>
          <w:tcPr>
            <w:tcW w:w="992" w:type="dxa"/>
          </w:tcPr>
          <w:p w14:paraId="05AF0893" w14:textId="77777777" w:rsidR="00A653FB" w:rsidRPr="00FE5EE8" w:rsidRDefault="00A653FB" w:rsidP="006808C1">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2017</w:t>
            </w:r>
          </w:p>
        </w:tc>
        <w:tc>
          <w:tcPr>
            <w:tcW w:w="992" w:type="dxa"/>
          </w:tcPr>
          <w:p w14:paraId="26E8B0F7" w14:textId="77777777" w:rsidR="00A653FB" w:rsidRPr="00FE5EE8" w:rsidRDefault="00A653FB" w:rsidP="006808C1">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2018</w:t>
            </w:r>
          </w:p>
        </w:tc>
        <w:tc>
          <w:tcPr>
            <w:tcW w:w="992" w:type="dxa"/>
          </w:tcPr>
          <w:p w14:paraId="47D9CB19" w14:textId="77777777" w:rsidR="00A653FB" w:rsidRPr="00FE5EE8" w:rsidRDefault="00A653FB" w:rsidP="006808C1">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2019</w:t>
            </w:r>
          </w:p>
        </w:tc>
        <w:tc>
          <w:tcPr>
            <w:tcW w:w="992" w:type="dxa"/>
          </w:tcPr>
          <w:p w14:paraId="09514FFB" w14:textId="77777777" w:rsidR="00A653FB" w:rsidRPr="00FE5EE8" w:rsidRDefault="00A653FB" w:rsidP="006808C1">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2020</w:t>
            </w:r>
          </w:p>
        </w:tc>
        <w:tc>
          <w:tcPr>
            <w:tcW w:w="992" w:type="dxa"/>
          </w:tcPr>
          <w:p w14:paraId="0F76181E" w14:textId="77777777" w:rsidR="00A653FB" w:rsidRPr="00FE5EE8" w:rsidRDefault="00A653FB" w:rsidP="006808C1">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2021</w:t>
            </w:r>
          </w:p>
        </w:tc>
        <w:tc>
          <w:tcPr>
            <w:tcW w:w="992" w:type="dxa"/>
          </w:tcPr>
          <w:p w14:paraId="4087F8C3" w14:textId="77777777" w:rsidR="00A653FB" w:rsidRPr="00FE5EE8" w:rsidRDefault="00A653FB" w:rsidP="006808C1">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2022</w:t>
            </w:r>
          </w:p>
        </w:tc>
        <w:tc>
          <w:tcPr>
            <w:tcW w:w="992" w:type="dxa"/>
          </w:tcPr>
          <w:p w14:paraId="3B5F1DB8" w14:textId="77777777" w:rsidR="00A653FB" w:rsidRPr="00FE5EE8" w:rsidRDefault="00A653FB" w:rsidP="006808C1">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2023</w:t>
            </w:r>
          </w:p>
        </w:tc>
        <w:tc>
          <w:tcPr>
            <w:tcW w:w="992" w:type="dxa"/>
          </w:tcPr>
          <w:p w14:paraId="4B03DD41" w14:textId="77777777" w:rsidR="00A653FB" w:rsidRDefault="00A653FB" w:rsidP="006808C1">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2024</w:t>
            </w:r>
          </w:p>
        </w:tc>
      </w:tr>
      <w:tr w:rsidR="00A653FB" w:rsidRPr="00FE5EE8" w14:paraId="22AE6DC0" w14:textId="77777777" w:rsidTr="00A653FB">
        <w:tc>
          <w:tcPr>
            <w:tcW w:w="1418" w:type="dxa"/>
          </w:tcPr>
          <w:p w14:paraId="7338CDEB" w14:textId="77777777" w:rsidR="00A653FB" w:rsidRPr="00FE5EE8" w:rsidRDefault="00A653FB" w:rsidP="0025059A">
            <w:pPr>
              <w:spacing w:before="60" w:after="60"/>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 xml:space="preserve">Base nette TH </w:t>
            </w:r>
          </w:p>
        </w:tc>
        <w:tc>
          <w:tcPr>
            <w:tcW w:w="992" w:type="dxa"/>
          </w:tcPr>
          <w:p w14:paraId="65409DFD" w14:textId="77777777" w:rsidR="00A653FB" w:rsidRPr="00E512BC" w:rsidRDefault="00A653FB" w:rsidP="001415D1">
            <w:pPr>
              <w:spacing w:before="60" w:after="60"/>
              <w:ind w:right="-25"/>
              <w:jc w:val="right"/>
              <w:outlineLvl w:val="1"/>
              <w:rPr>
                <w:rFonts w:ascii="Arial" w:eastAsia="Times New Roman" w:hAnsi="Arial" w:cs="Arial"/>
                <w:bCs/>
                <w:sz w:val="16"/>
                <w:szCs w:val="16"/>
                <w:lang w:eastAsia="fr-FR"/>
              </w:rPr>
            </w:pPr>
            <w:r w:rsidRPr="00E512BC">
              <w:rPr>
                <w:rFonts w:ascii="Arial" w:eastAsia="Times New Roman" w:hAnsi="Arial" w:cs="Arial"/>
                <w:bCs/>
                <w:sz w:val="16"/>
                <w:szCs w:val="16"/>
                <w:lang w:eastAsia="fr-FR"/>
              </w:rPr>
              <w:t>43 518 544</w:t>
            </w:r>
          </w:p>
        </w:tc>
        <w:tc>
          <w:tcPr>
            <w:tcW w:w="992" w:type="dxa"/>
          </w:tcPr>
          <w:p w14:paraId="7AF9E938" w14:textId="77777777" w:rsidR="00A653FB" w:rsidRPr="00E512BC" w:rsidRDefault="00A653FB" w:rsidP="001415D1">
            <w:pPr>
              <w:spacing w:before="60" w:after="60"/>
              <w:ind w:right="-25"/>
              <w:jc w:val="right"/>
              <w:outlineLvl w:val="1"/>
              <w:rPr>
                <w:rFonts w:ascii="Arial" w:eastAsia="Times New Roman" w:hAnsi="Arial" w:cs="Arial"/>
                <w:bCs/>
                <w:sz w:val="16"/>
                <w:szCs w:val="16"/>
                <w:lang w:eastAsia="fr-FR"/>
              </w:rPr>
            </w:pPr>
            <w:r w:rsidRPr="00E512BC">
              <w:rPr>
                <w:rFonts w:ascii="Arial" w:eastAsia="Times New Roman" w:hAnsi="Arial" w:cs="Arial"/>
                <w:bCs/>
                <w:sz w:val="16"/>
                <w:szCs w:val="16"/>
                <w:lang w:eastAsia="fr-FR"/>
              </w:rPr>
              <w:t>50 103 478</w:t>
            </w:r>
          </w:p>
        </w:tc>
        <w:tc>
          <w:tcPr>
            <w:tcW w:w="992" w:type="dxa"/>
          </w:tcPr>
          <w:p w14:paraId="60750247" w14:textId="77777777" w:rsidR="00A653FB" w:rsidRPr="00E512BC" w:rsidRDefault="00A653FB" w:rsidP="001415D1">
            <w:pPr>
              <w:spacing w:before="60" w:after="60"/>
              <w:ind w:right="-25"/>
              <w:jc w:val="right"/>
              <w:outlineLvl w:val="1"/>
              <w:rPr>
                <w:rFonts w:ascii="Arial" w:eastAsia="Times New Roman" w:hAnsi="Arial" w:cs="Arial"/>
                <w:bCs/>
                <w:sz w:val="16"/>
                <w:szCs w:val="16"/>
                <w:lang w:eastAsia="fr-FR"/>
              </w:rPr>
            </w:pPr>
            <w:r w:rsidRPr="00E512BC">
              <w:rPr>
                <w:rFonts w:ascii="Arial" w:eastAsia="Times New Roman" w:hAnsi="Arial" w:cs="Arial"/>
                <w:bCs/>
                <w:sz w:val="16"/>
                <w:szCs w:val="16"/>
                <w:lang w:eastAsia="fr-FR"/>
              </w:rPr>
              <w:t>51 506 723</w:t>
            </w:r>
          </w:p>
        </w:tc>
        <w:tc>
          <w:tcPr>
            <w:tcW w:w="992" w:type="dxa"/>
          </w:tcPr>
          <w:p w14:paraId="03E53E3B" w14:textId="77777777" w:rsidR="00A653FB" w:rsidRPr="00E512BC" w:rsidRDefault="00A653FB" w:rsidP="00460B6F">
            <w:pPr>
              <w:spacing w:before="60" w:after="60"/>
              <w:ind w:right="-25"/>
              <w:jc w:val="right"/>
              <w:outlineLvl w:val="1"/>
              <w:rPr>
                <w:rFonts w:ascii="Arial" w:eastAsia="Times New Roman" w:hAnsi="Arial" w:cs="Arial"/>
                <w:bCs/>
                <w:sz w:val="16"/>
                <w:szCs w:val="16"/>
                <w:lang w:eastAsia="fr-FR"/>
              </w:rPr>
            </w:pPr>
            <w:r w:rsidRPr="00E512BC">
              <w:rPr>
                <w:rFonts w:ascii="Arial" w:eastAsia="Times New Roman" w:hAnsi="Arial" w:cs="Arial"/>
                <w:bCs/>
                <w:sz w:val="16"/>
                <w:szCs w:val="16"/>
                <w:lang w:eastAsia="fr-FR"/>
              </w:rPr>
              <w:t>51</w:t>
            </w:r>
            <w:r>
              <w:rPr>
                <w:rFonts w:ascii="Arial" w:eastAsia="Times New Roman" w:hAnsi="Arial" w:cs="Arial"/>
                <w:bCs/>
                <w:sz w:val="16"/>
                <w:szCs w:val="16"/>
                <w:lang w:eastAsia="fr-FR"/>
              </w:rPr>
              <w:t> 796 684</w:t>
            </w:r>
          </w:p>
        </w:tc>
        <w:tc>
          <w:tcPr>
            <w:tcW w:w="992" w:type="dxa"/>
          </w:tcPr>
          <w:p w14:paraId="0C910825" w14:textId="77777777" w:rsidR="00A653FB" w:rsidRPr="00E512BC" w:rsidRDefault="007E46A3" w:rsidP="00F73147">
            <w:pPr>
              <w:spacing w:before="60" w:after="60"/>
              <w:ind w:right="-25"/>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2 200 941</w:t>
            </w:r>
          </w:p>
        </w:tc>
        <w:tc>
          <w:tcPr>
            <w:tcW w:w="992" w:type="dxa"/>
          </w:tcPr>
          <w:p w14:paraId="32F23B73" w14:textId="77777777" w:rsidR="00A653FB" w:rsidRPr="00E512BC" w:rsidRDefault="007E46A3" w:rsidP="00F73147">
            <w:pPr>
              <w:spacing w:before="60" w:after="60"/>
              <w:ind w:right="-25"/>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2 275 700</w:t>
            </w:r>
          </w:p>
        </w:tc>
        <w:tc>
          <w:tcPr>
            <w:tcW w:w="992" w:type="dxa"/>
          </w:tcPr>
          <w:p w14:paraId="11DF739C" w14:textId="77777777" w:rsidR="00A653FB" w:rsidRPr="00E512BC" w:rsidRDefault="003011F6" w:rsidP="00F73147">
            <w:pPr>
              <w:spacing w:before="60" w:after="60"/>
              <w:ind w:right="-25"/>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2 298 500</w:t>
            </w:r>
          </w:p>
        </w:tc>
        <w:tc>
          <w:tcPr>
            <w:tcW w:w="992" w:type="dxa"/>
          </w:tcPr>
          <w:p w14:paraId="4462F06D" w14:textId="77777777" w:rsidR="00A653FB" w:rsidRDefault="003011F6" w:rsidP="00F73147">
            <w:pPr>
              <w:spacing w:before="60" w:after="60"/>
              <w:ind w:right="-25"/>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2 321 500</w:t>
            </w:r>
          </w:p>
        </w:tc>
      </w:tr>
      <w:tr w:rsidR="00A653FB" w:rsidRPr="00FE5EE8" w14:paraId="0FA3E81B" w14:textId="77777777" w:rsidTr="00A653FB">
        <w:tc>
          <w:tcPr>
            <w:tcW w:w="1418" w:type="dxa"/>
          </w:tcPr>
          <w:p w14:paraId="18B524A9" w14:textId="77777777" w:rsidR="00A653FB" w:rsidRPr="00FE5EE8" w:rsidRDefault="00A653FB" w:rsidP="0025059A">
            <w:pPr>
              <w:spacing w:before="60" w:after="60"/>
              <w:ind w:right="-74"/>
              <w:outlineLvl w:val="1"/>
              <w:rPr>
                <w:rFonts w:ascii="Arial" w:eastAsia="Times New Roman" w:hAnsi="Arial" w:cs="Arial"/>
                <w:bCs/>
                <w:sz w:val="16"/>
                <w:szCs w:val="16"/>
                <w:lang w:eastAsia="fr-FR"/>
              </w:rPr>
            </w:pPr>
            <w:r>
              <w:rPr>
                <w:rFonts w:ascii="Arial" w:eastAsia="Times New Roman" w:hAnsi="Arial" w:cs="Arial"/>
                <w:bCs/>
                <w:sz w:val="16"/>
                <w:szCs w:val="16"/>
                <w:lang w:eastAsia="fr-FR"/>
              </w:rPr>
              <w:t>Base nette TFP</w:t>
            </w:r>
            <w:r w:rsidRPr="00FE5EE8">
              <w:rPr>
                <w:rFonts w:ascii="Arial" w:eastAsia="Times New Roman" w:hAnsi="Arial" w:cs="Arial"/>
                <w:bCs/>
                <w:sz w:val="16"/>
                <w:szCs w:val="16"/>
                <w:lang w:eastAsia="fr-FR"/>
              </w:rPr>
              <w:t>B</w:t>
            </w:r>
          </w:p>
        </w:tc>
        <w:tc>
          <w:tcPr>
            <w:tcW w:w="992" w:type="dxa"/>
          </w:tcPr>
          <w:p w14:paraId="784C2CED" w14:textId="77777777" w:rsidR="00A653FB" w:rsidRPr="00E512BC" w:rsidRDefault="00A653FB" w:rsidP="001415D1">
            <w:pPr>
              <w:spacing w:before="60" w:after="60"/>
              <w:ind w:right="-25"/>
              <w:jc w:val="right"/>
              <w:outlineLvl w:val="1"/>
              <w:rPr>
                <w:rFonts w:ascii="Arial" w:eastAsia="Times New Roman" w:hAnsi="Arial" w:cs="Arial"/>
                <w:bCs/>
                <w:sz w:val="16"/>
                <w:szCs w:val="16"/>
                <w:lang w:eastAsia="fr-FR"/>
              </w:rPr>
            </w:pPr>
            <w:r w:rsidRPr="00E512BC">
              <w:rPr>
                <w:rFonts w:ascii="Arial" w:eastAsia="Times New Roman" w:hAnsi="Arial" w:cs="Arial"/>
                <w:bCs/>
                <w:sz w:val="16"/>
                <w:szCs w:val="16"/>
                <w:lang w:eastAsia="fr-FR"/>
              </w:rPr>
              <w:t>39 293 503</w:t>
            </w:r>
          </w:p>
        </w:tc>
        <w:tc>
          <w:tcPr>
            <w:tcW w:w="992" w:type="dxa"/>
          </w:tcPr>
          <w:p w14:paraId="1D646F85" w14:textId="77777777" w:rsidR="00A653FB" w:rsidRPr="00E512BC" w:rsidRDefault="00A653FB" w:rsidP="001415D1">
            <w:pPr>
              <w:spacing w:before="60" w:after="60"/>
              <w:ind w:right="-25"/>
              <w:jc w:val="right"/>
              <w:outlineLvl w:val="1"/>
              <w:rPr>
                <w:rFonts w:ascii="Arial" w:eastAsia="Times New Roman" w:hAnsi="Arial" w:cs="Arial"/>
                <w:bCs/>
                <w:sz w:val="16"/>
                <w:szCs w:val="16"/>
                <w:lang w:eastAsia="fr-FR"/>
              </w:rPr>
            </w:pPr>
            <w:r w:rsidRPr="00E512BC">
              <w:rPr>
                <w:rFonts w:ascii="Arial" w:eastAsia="Times New Roman" w:hAnsi="Arial" w:cs="Arial"/>
                <w:bCs/>
                <w:sz w:val="16"/>
                <w:szCs w:val="16"/>
                <w:lang w:eastAsia="fr-FR"/>
              </w:rPr>
              <w:t>39 525 779</w:t>
            </w:r>
          </w:p>
        </w:tc>
        <w:tc>
          <w:tcPr>
            <w:tcW w:w="992" w:type="dxa"/>
          </w:tcPr>
          <w:p w14:paraId="3116F8B1" w14:textId="77777777" w:rsidR="00A653FB" w:rsidRPr="00E512BC" w:rsidRDefault="00A653FB" w:rsidP="001415D1">
            <w:pPr>
              <w:spacing w:before="60" w:after="60"/>
              <w:ind w:right="-25"/>
              <w:jc w:val="right"/>
              <w:outlineLvl w:val="1"/>
              <w:rPr>
                <w:rFonts w:ascii="Arial" w:eastAsia="Times New Roman" w:hAnsi="Arial" w:cs="Arial"/>
                <w:bCs/>
                <w:sz w:val="16"/>
                <w:szCs w:val="16"/>
                <w:lang w:eastAsia="fr-FR"/>
              </w:rPr>
            </w:pPr>
            <w:r w:rsidRPr="00E512BC">
              <w:rPr>
                <w:rFonts w:ascii="Arial" w:eastAsia="Times New Roman" w:hAnsi="Arial" w:cs="Arial"/>
                <w:bCs/>
                <w:sz w:val="16"/>
                <w:szCs w:val="16"/>
                <w:lang w:eastAsia="fr-FR"/>
              </w:rPr>
              <w:t>39 792 984</w:t>
            </w:r>
          </w:p>
        </w:tc>
        <w:tc>
          <w:tcPr>
            <w:tcW w:w="992" w:type="dxa"/>
          </w:tcPr>
          <w:p w14:paraId="594F5AB1" w14:textId="77777777" w:rsidR="00A653FB" w:rsidRPr="00E512BC" w:rsidRDefault="00A653FB" w:rsidP="001415D1">
            <w:pPr>
              <w:spacing w:before="60" w:after="60"/>
              <w:ind w:right="-25"/>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40 826 021</w:t>
            </w:r>
          </w:p>
        </w:tc>
        <w:tc>
          <w:tcPr>
            <w:tcW w:w="992" w:type="dxa"/>
          </w:tcPr>
          <w:p w14:paraId="54572193" w14:textId="77777777" w:rsidR="00A653FB" w:rsidRPr="00E512BC" w:rsidRDefault="003011F6" w:rsidP="001F5F4F">
            <w:pPr>
              <w:spacing w:before="60" w:after="60"/>
              <w:ind w:right="-25"/>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41 299 031</w:t>
            </w:r>
          </w:p>
        </w:tc>
        <w:tc>
          <w:tcPr>
            <w:tcW w:w="992" w:type="dxa"/>
          </w:tcPr>
          <w:p w14:paraId="2DAFE61C" w14:textId="77777777" w:rsidR="00A653FB" w:rsidRPr="00E512BC" w:rsidRDefault="003011F6" w:rsidP="006B03F6">
            <w:pPr>
              <w:spacing w:before="60" w:after="60"/>
              <w:ind w:right="-25"/>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42</w:t>
            </w:r>
            <w:r w:rsidR="006B03F6">
              <w:rPr>
                <w:rFonts w:ascii="Arial" w:eastAsia="Times New Roman" w:hAnsi="Arial" w:cs="Arial"/>
                <w:bCs/>
                <w:sz w:val="16"/>
                <w:szCs w:val="16"/>
                <w:lang w:eastAsia="fr-FR"/>
              </w:rPr>
              <w:t> 344 300</w:t>
            </w:r>
          </w:p>
        </w:tc>
        <w:tc>
          <w:tcPr>
            <w:tcW w:w="992" w:type="dxa"/>
          </w:tcPr>
          <w:p w14:paraId="501B949E" w14:textId="77777777" w:rsidR="00A653FB" w:rsidRPr="00E512BC" w:rsidRDefault="006B03F6" w:rsidP="00A25CD0">
            <w:pPr>
              <w:spacing w:before="60" w:after="60"/>
              <w:ind w:right="-25"/>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42 767 700</w:t>
            </w:r>
          </w:p>
        </w:tc>
        <w:tc>
          <w:tcPr>
            <w:tcW w:w="992" w:type="dxa"/>
          </w:tcPr>
          <w:p w14:paraId="4D214013" w14:textId="77777777" w:rsidR="00A653FB" w:rsidRDefault="003011F6" w:rsidP="006B03F6">
            <w:pPr>
              <w:spacing w:before="60" w:after="60"/>
              <w:ind w:right="-25"/>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43</w:t>
            </w:r>
            <w:r w:rsidR="006B03F6">
              <w:rPr>
                <w:rFonts w:ascii="Arial" w:eastAsia="Times New Roman" w:hAnsi="Arial" w:cs="Arial"/>
                <w:bCs/>
                <w:sz w:val="16"/>
                <w:szCs w:val="16"/>
                <w:lang w:eastAsia="fr-FR"/>
              </w:rPr>
              <w:t> 195 300</w:t>
            </w:r>
          </w:p>
        </w:tc>
      </w:tr>
      <w:tr w:rsidR="00A653FB" w:rsidRPr="00FE5EE8" w14:paraId="1AA0D5E6" w14:textId="77777777" w:rsidTr="00A653FB">
        <w:tc>
          <w:tcPr>
            <w:tcW w:w="1418" w:type="dxa"/>
            <w:tcBorders>
              <w:bottom w:val="single" w:sz="4" w:space="0" w:color="000000" w:themeColor="text1"/>
            </w:tcBorders>
          </w:tcPr>
          <w:p w14:paraId="1E0C0710" w14:textId="77777777" w:rsidR="00A653FB" w:rsidRPr="00FE5EE8" w:rsidRDefault="00A653FB" w:rsidP="0025059A">
            <w:pPr>
              <w:spacing w:before="60" w:after="60"/>
              <w:ind w:right="-74"/>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 xml:space="preserve">Base nette </w:t>
            </w:r>
            <w:r>
              <w:rPr>
                <w:rFonts w:ascii="Arial" w:eastAsia="Times New Roman" w:hAnsi="Arial" w:cs="Arial"/>
                <w:bCs/>
                <w:sz w:val="16"/>
                <w:szCs w:val="16"/>
                <w:lang w:eastAsia="fr-FR"/>
              </w:rPr>
              <w:t>T</w:t>
            </w:r>
            <w:r w:rsidRPr="00FE5EE8">
              <w:rPr>
                <w:rFonts w:ascii="Arial" w:eastAsia="Times New Roman" w:hAnsi="Arial" w:cs="Arial"/>
                <w:bCs/>
                <w:sz w:val="16"/>
                <w:szCs w:val="16"/>
                <w:lang w:eastAsia="fr-FR"/>
              </w:rPr>
              <w:t>FNB</w:t>
            </w:r>
          </w:p>
        </w:tc>
        <w:tc>
          <w:tcPr>
            <w:tcW w:w="992" w:type="dxa"/>
            <w:tcBorders>
              <w:bottom w:val="single" w:sz="4" w:space="0" w:color="000000" w:themeColor="text1"/>
            </w:tcBorders>
          </w:tcPr>
          <w:p w14:paraId="4E77AD94" w14:textId="77777777" w:rsidR="00A653FB" w:rsidRPr="00FE5EE8" w:rsidRDefault="00A653FB" w:rsidP="001415D1">
            <w:pPr>
              <w:spacing w:before="60" w:after="60"/>
              <w:ind w:right="-25"/>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60 363</w:t>
            </w:r>
          </w:p>
        </w:tc>
        <w:tc>
          <w:tcPr>
            <w:tcW w:w="992" w:type="dxa"/>
            <w:tcBorders>
              <w:bottom w:val="single" w:sz="4" w:space="0" w:color="000000" w:themeColor="text1"/>
            </w:tcBorders>
          </w:tcPr>
          <w:p w14:paraId="604AEC84" w14:textId="77777777" w:rsidR="00A653FB" w:rsidRPr="00FE5EE8" w:rsidRDefault="00A653FB" w:rsidP="001415D1">
            <w:pPr>
              <w:spacing w:before="60" w:after="60"/>
              <w:ind w:right="-25"/>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46 826</w:t>
            </w:r>
          </w:p>
        </w:tc>
        <w:tc>
          <w:tcPr>
            <w:tcW w:w="992" w:type="dxa"/>
            <w:tcBorders>
              <w:bottom w:val="single" w:sz="4" w:space="0" w:color="000000" w:themeColor="text1"/>
            </w:tcBorders>
          </w:tcPr>
          <w:p w14:paraId="3560776B" w14:textId="77777777" w:rsidR="00A653FB" w:rsidRPr="00FE5EE8" w:rsidRDefault="00A653FB" w:rsidP="001415D1">
            <w:pPr>
              <w:spacing w:before="60" w:after="60"/>
              <w:ind w:right="-25"/>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51 017</w:t>
            </w:r>
          </w:p>
        </w:tc>
        <w:tc>
          <w:tcPr>
            <w:tcW w:w="992" w:type="dxa"/>
            <w:tcBorders>
              <w:bottom w:val="single" w:sz="4" w:space="0" w:color="000000" w:themeColor="text1"/>
            </w:tcBorders>
          </w:tcPr>
          <w:p w14:paraId="50D21A30" w14:textId="77777777" w:rsidR="00A653FB" w:rsidRPr="00FE5EE8" w:rsidRDefault="00A653FB" w:rsidP="001415D1">
            <w:pPr>
              <w:spacing w:before="60" w:after="60"/>
              <w:ind w:right="-25"/>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56 921</w:t>
            </w:r>
          </w:p>
        </w:tc>
        <w:tc>
          <w:tcPr>
            <w:tcW w:w="992" w:type="dxa"/>
            <w:tcBorders>
              <w:bottom w:val="single" w:sz="4" w:space="0" w:color="000000" w:themeColor="text1"/>
            </w:tcBorders>
          </w:tcPr>
          <w:p w14:paraId="274386DF" w14:textId="77777777" w:rsidR="00A653FB" w:rsidRPr="00FE5EE8" w:rsidRDefault="003011F6" w:rsidP="001415D1">
            <w:pPr>
              <w:spacing w:before="60" w:after="60"/>
              <w:ind w:right="-25"/>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52 573</w:t>
            </w:r>
          </w:p>
        </w:tc>
        <w:tc>
          <w:tcPr>
            <w:tcW w:w="992" w:type="dxa"/>
            <w:tcBorders>
              <w:bottom w:val="single" w:sz="4" w:space="0" w:color="000000" w:themeColor="text1"/>
            </w:tcBorders>
          </w:tcPr>
          <w:p w14:paraId="6499CDE9" w14:textId="77777777" w:rsidR="00A653FB" w:rsidRPr="00FE5EE8" w:rsidRDefault="003011F6" w:rsidP="001415D1">
            <w:pPr>
              <w:spacing w:before="60" w:after="60"/>
              <w:ind w:right="-25"/>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52 5</w:t>
            </w:r>
            <w:r w:rsidR="00A653FB" w:rsidRPr="00FE5EE8">
              <w:rPr>
                <w:rFonts w:ascii="Arial" w:eastAsia="Times New Roman" w:hAnsi="Arial" w:cs="Arial"/>
                <w:bCs/>
                <w:sz w:val="16"/>
                <w:szCs w:val="16"/>
                <w:lang w:eastAsia="fr-FR"/>
              </w:rPr>
              <w:t>00</w:t>
            </w:r>
          </w:p>
        </w:tc>
        <w:tc>
          <w:tcPr>
            <w:tcW w:w="992" w:type="dxa"/>
            <w:tcBorders>
              <w:bottom w:val="single" w:sz="4" w:space="0" w:color="000000" w:themeColor="text1"/>
            </w:tcBorders>
          </w:tcPr>
          <w:p w14:paraId="7B7D469F" w14:textId="77777777" w:rsidR="00A653FB" w:rsidRPr="00FE5EE8" w:rsidRDefault="003011F6" w:rsidP="00466AE7">
            <w:pPr>
              <w:spacing w:before="60" w:after="60"/>
              <w:ind w:right="-25"/>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52 5</w:t>
            </w:r>
            <w:r w:rsidR="00A653FB" w:rsidRPr="00FE5EE8">
              <w:rPr>
                <w:rFonts w:ascii="Arial" w:eastAsia="Times New Roman" w:hAnsi="Arial" w:cs="Arial"/>
                <w:bCs/>
                <w:sz w:val="16"/>
                <w:szCs w:val="16"/>
                <w:lang w:eastAsia="fr-FR"/>
              </w:rPr>
              <w:t>00</w:t>
            </w:r>
          </w:p>
        </w:tc>
        <w:tc>
          <w:tcPr>
            <w:tcW w:w="992" w:type="dxa"/>
            <w:tcBorders>
              <w:bottom w:val="single" w:sz="4" w:space="0" w:color="000000" w:themeColor="text1"/>
            </w:tcBorders>
          </w:tcPr>
          <w:p w14:paraId="100B3FF2" w14:textId="77777777" w:rsidR="00A653FB" w:rsidRDefault="003011F6" w:rsidP="00466AE7">
            <w:pPr>
              <w:spacing w:before="60" w:after="60"/>
              <w:ind w:right="-25"/>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52 500</w:t>
            </w:r>
          </w:p>
        </w:tc>
      </w:tr>
      <w:tr w:rsidR="00A653FB" w:rsidRPr="00D56E75" w14:paraId="1FBC79AA" w14:textId="77777777" w:rsidTr="00A653FB">
        <w:tc>
          <w:tcPr>
            <w:tcW w:w="1418" w:type="dxa"/>
            <w:tcBorders>
              <w:left w:val="nil"/>
              <w:right w:val="nil"/>
            </w:tcBorders>
          </w:tcPr>
          <w:p w14:paraId="273A87C3" w14:textId="77777777" w:rsidR="00A653FB" w:rsidRDefault="00A653FB" w:rsidP="006808C1">
            <w:pPr>
              <w:spacing w:before="60" w:after="60"/>
              <w:outlineLvl w:val="1"/>
              <w:rPr>
                <w:rFonts w:ascii="Arial Narrow" w:eastAsia="Times New Roman" w:hAnsi="Arial Narrow" w:cs="Times New Roman"/>
                <w:bCs/>
                <w:sz w:val="20"/>
                <w:szCs w:val="20"/>
                <w:lang w:eastAsia="fr-FR"/>
              </w:rPr>
            </w:pPr>
          </w:p>
        </w:tc>
        <w:tc>
          <w:tcPr>
            <w:tcW w:w="992" w:type="dxa"/>
            <w:tcBorders>
              <w:left w:val="nil"/>
              <w:right w:val="nil"/>
            </w:tcBorders>
          </w:tcPr>
          <w:p w14:paraId="0B7707F4" w14:textId="77777777" w:rsidR="00A653FB" w:rsidRPr="00D56E75" w:rsidRDefault="00A653FB" w:rsidP="006808C1">
            <w:pPr>
              <w:spacing w:before="60" w:after="60"/>
              <w:outlineLvl w:val="1"/>
              <w:rPr>
                <w:rFonts w:ascii="Arial Narrow" w:eastAsia="Times New Roman" w:hAnsi="Arial Narrow" w:cs="Times New Roman"/>
                <w:bCs/>
                <w:sz w:val="20"/>
                <w:szCs w:val="20"/>
                <w:lang w:eastAsia="fr-FR"/>
              </w:rPr>
            </w:pPr>
          </w:p>
        </w:tc>
        <w:tc>
          <w:tcPr>
            <w:tcW w:w="992" w:type="dxa"/>
            <w:tcBorders>
              <w:left w:val="nil"/>
              <w:right w:val="nil"/>
            </w:tcBorders>
          </w:tcPr>
          <w:p w14:paraId="7078D362" w14:textId="77777777" w:rsidR="00A653FB" w:rsidRPr="00D56E75" w:rsidRDefault="00A653FB" w:rsidP="006808C1">
            <w:pPr>
              <w:spacing w:before="60" w:after="60"/>
              <w:outlineLvl w:val="1"/>
              <w:rPr>
                <w:rFonts w:ascii="Arial Narrow" w:eastAsia="Times New Roman" w:hAnsi="Arial Narrow" w:cs="Times New Roman"/>
                <w:bCs/>
                <w:sz w:val="20"/>
                <w:szCs w:val="20"/>
                <w:lang w:eastAsia="fr-FR"/>
              </w:rPr>
            </w:pPr>
          </w:p>
        </w:tc>
        <w:tc>
          <w:tcPr>
            <w:tcW w:w="992" w:type="dxa"/>
            <w:tcBorders>
              <w:left w:val="nil"/>
              <w:right w:val="nil"/>
            </w:tcBorders>
          </w:tcPr>
          <w:p w14:paraId="66525C32" w14:textId="77777777" w:rsidR="00A653FB" w:rsidRPr="00D56E75" w:rsidRDefault="00A653FB" w:rsidP="006808C1">
            <w:pPr>
              <w:spacing w:before="60" w:after="60"/>
              <w:outlineLvl w:val="1"/>
              <w:rPr>
                <w:rFonts w:ascii="Arial Narrow" w:eastAsia="Times New Roman" w:hAnsi="Arial Narrow" w:cs="Times New Roman"/>
                <w:bCs/>
                <w:sz w:val="20"/>
                <w:szCs w:val="20"/>
                <w:lang w:eastAsia="fr-FR"/>
              </w:rPr>
            </w:pPr>
          </w:p>
        </w:tc>
        <w:tc>
          <w:tcPr>
            <w:tcW w:w="992" w:type="dxa"/>
            <w:tcBorders>
              <w:left w:val="nil"/>
              <w:right w:val="nil"/>
            </w:tcBorders>
          </w:tcPr>
          <w:p w14:paraId="00A7E547" w14:textId="77777777" w:rsidR="00A653FB" w:rsidRPr="00D56E75" w:rsidRDefault="00A653FB" w:rsidP="006808C1">
            <w:pPr>
              <w:spacing w:before="60" w:after="60"/>
              <w:outlineLvl w:val="1"/>
              <w:rPr>
                <w:rFonts w:ascii="Arial Narrow" w:eastAsia="Times New Roman" w:hAnsi="Arial Narrow" w:cs="Times New Roman"/>
                <w:bCs/>
                <w:sz w:val="20"/>
                <w:szCs w:val="20"/>
                <w:lang w:eastAsia="fr-FR"/>
              </w:rPr>
            </w:pPr>
          </w:p>
        </w:tc>
        <w:tc>
          <w:tcPr>
            <w:tcW w:w="992" w:type="dxa"/>
            <w:tcBorders>
              <w:left w:val="nil"/>
              <w:right w:val="nil"/>
            </w:tcBorders>
          </w:tcPr>
          <w:p w14:paraId="4413729D" w14:textId="77777777" w:rsidR="00A653FB" w:rsidRPr="00D56E75" w:rsidRDefault="00A653FB" w:rsidP="006808C1">
            <w:pPr>
              <w:spacing w:before="60" w:after="60"/>
              <w:outlineLvl w:val="1"/>
              <w:rPr>
                <w:rFonts w:ascii="Arial Narrow" w:eastAsia="Times New Roman" w:hAnsi="Arial Narrow" w:cs="Times New Roman"/>
                <w:bCs/>
                <w:sz w:val="20"/>
                <w:szCs w:val="20"/>
                <w:lang w:eastAsia="fr-FR"/>
              </w:rPr>
            </w:pPr>
          </w:p>
        </w:tc>
        <w:tc>
          <w:tcPr>
            <w:tcW w:w="992" w:type="dxa"/>
            <w:tcBorders>
              <w:left w:val="nil"/>
              <w:right w:val="nil"/>
            </w:tcBorders>
          </w:tcPr>
          <w:p w14:paraId="3920D61E" w14:textId="77777777" w:rsidR="00A653FB" w:rsidRPr="00D56E75" w:rsidRDefault="00A653FB" w:rsidP="006808C1">
            <w:pPr>
              <w:spacing w:before="60" w:after="60"/>
              <w:outlineLvl w:val="1"/>
              <w:rPr>
                <w:rFonts w:ascii="Arial Narrow" w:eastAsia="Times New Roman" w:hAnsi="Arial Narrow" w:cs="Times New Roman"/>
                <w:bCs/>
                <w:sz w:val="20"/>
                <w:szCs w:val="20"/>
                <w:lang w:eastAsia="fr-FR"/>
              </w:rPr>
            </w:pPr>
          </w:p>
        </w:tc>
        <w:tc>
          <w:tcPr>
            <w:tcW w:w="992" w:type="dxa"/>
            <w:tcBorders>
              <w:left w:val="nil"/>
              <w:right w:val="nil"/>
            </w:tcBorders>
          </w:tcPr>
          <w:p w14:paraId="3BC2FD1D" w14:textId="77777777" w:rsidR="00A653FB" w:rsidRPr="00D56E75" w:rsidRDefault="00A653FB" w:rsidP="006808C1">
            <w:pPr>
              <w:spacing w:before="60" w:after="60"/>
              <w:outlineLvl w:val="1"/>
              <w:rPr>
                <w:rFonts w:ascii="Arial Narrow" w:eastAsia="Times New Roman" w:hAnsi="Arial Narrow" w:cs="Times New Roman"/>
                <w:bCs/>
                <w:sz w:val="20"/>
                <w:szCs w:val="20"/>
                <w:lang w:eastAsia="fr-FR"/>
              </w:rPr>
            </w:pPr>
          </w:p>
        </w:tc>
        <w:tc>
          <w:tcPr>
            <w:tcW w:w="992" w:type="dxa"/>
            <w:tcBorders>
              <w:left w:val="nil"/>
              <w:right w:val="nil"/>
            </w:tcBorders>
          </w:tcPr>
          <w:p w14:paraId="42750E90" w14:textId="77777777" w:rsidR="00A653FB" w:rsidRPr="00D56E75" w:rsidRDefault="00A653FB" w:rsidP="006808C1">
            <w:pPr>
              <w:spacing w:before="60" w:after="60"/>
              <w:outlineLvl w:val="1"/>
              <w:rPr>
                <w:rFonts w:ascii="Arial Narrow" w:eastAsia="Times New Roman" w:hAnsi="Arial Narrow" w:cs="Times New Roman"/>
                <w:bCs/>
                <w:sz w:val="20"/>
                <w:szCs w:val="20"/>
                <w:lang w:eastAsia="fr-FR"/>
              </w:rPr>
            </w:pPr>
          </w:p>
        </w:tc>
      </w:tr>
      <w:tr w:rsidR="00A653FB" w:rsidRPr="00D56E75" w14:paraId="2EFE0539" w14:textId="77777777" w:rsidTr="00A653FB">
        <w:tc>
          <w:tcPr>
            <w:tcW w:w="1418" w:type="dxa"/>
          </w:tcPr>
          <w:p w14:paraId="1C942FF3" w14:textId="77777777" w:rsidR="00A653FB" w:rsidRPr="001415D1" w:rsidRDefault="00A653FB" w:rsidP="006808C1">
            <w:pPr>
              <w:spacing w:before="60" w:after="60"/>
              <w:ind w:left="-142"/>
              <w:outlineLvl w:val="1"/>
              <w:rPr>
                <w:rFonts w:ascii="Arial Narrow" w:eastAsia="Times New Roman" w:hAnsi="Arial Narrow" w:cs="Arial"/>
                <w:bCs/>
                <w:sz w:val="16"/>
                <w:szCs w:val="16"/>
                <w:lang w:eastAsia="fr-FR"/>
              </w:rPr>
            </w:pPr>
            <w:r w:rsidRPr="001415D1">
              <w:rPr>
                <w:rFonts w:ascii="Arial Narrow" w:eastAsia="Times New Roman" w:hAnsi="Arial Narrow" w:cs="Arial"/>
                <w:bCs/>
                <w:sz w:val="16"/>
                <w:szCs w:val="16"/>
                <w:lang w:eastAsia="fr-FR"/>
              </w:rPr>
              <w:t xml:space="preserve">  Indice d’actualisation</w:t>
            </w:r>
          </w:p>
        </w:tc>
        <w:tc>
          <w:tcPr>
            <w:tcW w:w="992" w:type="dxa"/>
          </w:tcPr>
          <w:p w14:paraId="7C0031CC" w14:textId="77777777" w:rsidR="00A653FB" w:rsidRPr="00FE5EE8" w:rsidRDefault="00A653FB" w:rsidP="00680BD5">
            <w:pPr>
              <w:spacing w:before="60" w:after="60"/>
              <w:jc w:val="center"/>
              <w:outlineLvl w:val="1"/>
              <w:rPr>
                <w:rFonts w:ascii="Arial Narrow" w:eastAsia="Times New Roman" w:hAnsi="Arial Narrow" w:cs="Times New Roman"/>
                <w:bCs/>
                <w:sz w:val="16"/>
                <w:szCs w:val="16"/>
                <w:lang w:eastAsia="fr-FR"/>
              </w:rPr>
            </w:pPr>
          </w:p>
        </w:tc>
        <w:tc>
          <w:tcPr>
            <w:tcW w:w="992" w:type="dxa"/>
          </w:tcPr>
          <w:p w14:paraId="2E836BFA" w14:textId="77777777" w:rsidR="00A653FB" w:rsidRPr="00FE5EE8" w:rsidRDefault="00A653FB" w:rsidP="00680BD5">
            <w:pPr>
              <w:spacing w:before="60" w:after="60"/>
              <w:jc w:val="center"/>
              <w:outlineLvl w:val="1"/>
              <w:rPr>
                <w:rFonts w:ascii="Arial Narrow" w:eastAsia="Times New Roman" w:hAnsi="Arial Narrow" w:cs="Times New Roman"/>
                <w:bCs/>
                <w:sz w:val="16"/>
                <w:szCs w:val="16"/>
                <w:lang w:eastAsia="fr-FR"/>
              </w:rPr>
            </w:pPr>
            <w:r w:rsidRPr="00FE5EE8">
              <w:rPr>
                <w:rFonts w:ascii="Arial Narrow" w:eastAsia="Times New Roman" w:hAnsi="Arial Narrow" w:cs="Times New Roman"/>
                <w:bCs/>
                <w:sz w:val="16"/>
                <w:szCs w:val="16"/>
                <w:lang w:eastAsia="fr-FR"/>
              </w:rPr>
              <w:t>1,012</w:t>
            </w:r>
          </w:p>
        </w:tc>
        <w:tc>
          <w:tcPr>
            <w:tcW w:w="992" w:type="dxa"/>
          </w:tcPr>
          <w:p w14:paraId="02D21BE2" w14:textId="77777777" w:rsidR="00A653FB" w:rsidRPr="00FE5EE8" w:rsidRDefault="00A653FB" w:rsidP="00680BD5">
            <w:pPr>
              <w:spacing w:before="60" w:after="60"/>
              <w:jc w:val="center"/>
              <w:outlineLvl w:val="1"/>
              <w:rPr>
                <w:rFonts w:ascii="Arial Narrow" w:eastAsia="Times New Roman" w:hAnsi="Arial Narrow" w:cs="Times New Roman"/>
                <w:bCs/>
                <w:sz w:val="16"/>
                <w:szCs w:val="16"/>
                <w:lang w:eastAsia="fr-FR"/>
              </w:rPr>
            </w:pPr>
            <w:r w:rsidRPr="00FE5EE8">
              <w:rPr>
                <w:rFonts w:ascii="Arial Narrow" w:eastAsia="Times New Roman" w:hAnsi="Arial Narrow" w:cs="Times New Roman"/>
                <w:bCs/>
                <w:sz w:val="16"/>
                <w:szCs w:val="16"/>
                <w:lang w:eastAsia="fr-FR"/>
              </w:rPr>
              <w:t>1,022</w:t>
            </w:r>
          </w:p>
        </w:tc>
        <w:tc>
          <w:tcPr>
            <w:tcW w:w="992" w:type="dxa"/>
          </w:tcPr>
          <w:p w14:paraId="51845A35" w14:textId="77777777" w:rsidR="00A653FB" w:rsidRPr="00FE5EE8" w:rsidRDefault="00A653FB" w:rsidP="00680BD5">
            <w:pPr>
              <w:spacing w:before="60" w:after="60"/>
              <w:ind w:left="-15" w:right="-57"/>
              <w:jc w:val="center"/>
              <w:outlineLvl w:val="1"/>
              <w:rPr>
                <w:rFonts w:ascii="Arial Narrow" w:eastAsia="Times New Roman" w:hAnsi="Arial Narrow" w:cs="Times New Roman"/>
                <w:bCs/>
                <w:sz w:val="16"/>
                <w:szCs w:val="16"/>
                <w:lang w:eastAsia="fr-FR"/>
              </w:rPr>
            </w:pPr>
            <w:r w:rsidRPr="00FE5EE8">
              <w:rPr>
                <w:rFonts w:ascii="Arial Narrow" w:eastAsia="Times New Roman" w:hAnsi="Arial Narrow" w:cs="Times New Roman"/>
                <w:bCs/>
                <w:sz w:val="16"/>
                <w:szCs w:val="16"/>
                <w:lang w:eastAsia="fr-FR"/>
              </w:rPr>
              <w:t>1,009 / 1,012</w:t>
            </w:r>
          </w:p>
        </w:tc>
        <w:tc>
          <w:tcPr>
            <w:tcW w:w="992" w:type="dxa"/>
          </w:tcPr>
          <w:p w14:paraId="5D858A6E" w14:textId="77777777" w:rsidR="00A653FB" w:rsidRPr="00FE5EE8" w:rsidRDefault="00A653FB" w:rsidP="001F0570">
            <w:pPr>
              <w:spacing w:before="60" w:after="60"/>
              <w:jc w:val="center"/>
              <w:outlineLvl w:val="1"/>
              <w:rPr>
                <w:rFonts w:ascii="Arial Narrow" w:eastAsia="Times New Roman" w:hAnsi="Arial Narrow" w:cs="Times New Roman"/>
                <w:bCs/>
                <w:sz w:val="16"/>
                <w:szCs w:val="16"/>
                <w:lang w:eastAsia="fr-FR"/>
              </w:rPr>
            </w:pPr>
            <w:r>
              <w:rPr>
                <w:rFonts w:ascii="Arial Narrow" w:eastAsia="Times New Roman" w:hAnsi="Arial Narrow" w:cs="Times New Roman"/>
                <w:bCs/>
                <w:sz w:val="16"/>
                <w:szCs w:val="16"/>
                <w:lang w:eastAsia="fr-FR"/>
              </w:rPr>
              <w:t>1,002</w:t>
            </w:r>
          </w:p>
        </w:tc>
        <w:tc>
          <w:tcPr>
            <w:tcW w:w="992" w:type="dxa"/>
          </w:tcPr>
          <w:p w14:paraId="671C935F" w14:textId="77777777" w:rsidR="00A653FB" w:rsidRPr="00FE5EE8" w:rsidRDefault="00A653FB" w:rsidP="008E2DE6">
            <w:pPr>
              <w:spacing w:before="60" w:after="60"/>
              <w:ind w:left="-141" w:right="-76"/>
              <w:jc w:val="center"/>
              <w:outlineLvl w:val="1"/>
              <w:rPr>
                <w:rFonts w:ascii="Arial Narrow" w:eastAsia="Times New Roman" w:hAnsi="Arial Narrow" w:cs="Times New Roman"/>
                <w:bCs/>
                <w:sz w:val="16"/>
                <w:szCs w:val="16"/>
                <w:lang w:eastAsia="fr-FR"/>
              </w:rPr>
            </w:pPr>
            <w:r>
              <w:rPr>
                <w:rFonts w:ascii="Arial Narrow" w:eastAsia="Times New Roman" w:hAnsi="Arial Narrow" w:cs="Times New Roman"/>
                <w:bCs/>
                <w:sz w:val="16"/>
                <w:szCs w:val="16"/>
                <w:lang w:eastAsia="fr-FR"/>
              </w:rPr>
              <w:t>1,0</w:t>
            </w:r>
            <w:r w:rsidR="00C71A6E">
              <w:rPr>
                <w:rFonts w:ascii="Arial Narrow" w:eastAsia="Times New Roman" w:hAnsi="Arial Narrow" w:cs="Times New Roman"/>
                <w:bCs/>
                <w:sz w:val="16"/>
                <w:szCs w:val="16"/>
                <w:lang w:eastAsia="fr-FR"/>
              </w:rPr>
              <w:t>34</w:t>
            </w:r>
            <w:r w:rsidR="008E2DE6">
              <w:rPr>
                <w:rFonts w:ascii="Arial Narrow" w:eastAsia="Times New Roman" w:hAnsi="Arial Narrow" w:cs="Times New Roman"/>
                <w:bCs/>
                <w:sz w:val="16"/>
                <w:szCs w:val="16"/>
                <w:lang w:eastAsia="fr-FR"/>
              </w:rPr>
              <w:t xml:space="preserve"> (</w:t>
            </w:r>
            <w:proofErr w:type="spellStart"/>
            <w:r w:rsidR="008E2DE6">
              <w:rPr>
                <w:rFonts w:ascii="Arial Narrow" w:eastAsia="Times New Roman" w:hAnsi="Arial Narrow" w:cs="Times New Roman"/>
                <w:bCs/>
                <w:sz w:val="16"/>
                <w:szCs w:val="16"/>
                <w:lang w:eastAsia="fr-FR"/>
              </w:rPr>
              <w:t>loc.hab</w:t>
            </w:r>
            <w:proofErr w:type="spellEnd"/>
            <w:r w:rsidR="008E2DE6">
              <w:rPr>
                <w:rFonts w:ascii="Arial Narrow" w:eastAsia="Times New Roman" w:hAnsi="Arial Narrow" w:cs="Times New Roman"/>
                <w:bCs/>
                <w:sz w:val="16"/>
                <w:szCs w:val="16"/>
                <w:lang w:eastAsia="fr-FR"/>
              </w:rPr>
              <w:t>)</w:t>
            </w:r>
          </w:p>
        </w:tc>
        <w:tc>
          <w:tcPr>
            <w:tcW w:w="992" w:type="dxa"/>
          </w:tcPr>
          <w:p w14:paraId="4E4E958D" w14:textId="77777777" w:rsidR="00A653FB" w:rsidRPr="00FE5EE8" w:rsidRDefault="00A653FB" w:rsidP="00466AE7">
            <w:pPr>
              <w:spacing w:before="60" w:after="60"/>
              <w:jc w:val="center"/>
              <w:outlineLvl w:val="1"/>
              <w:rPr>
                <w:rFonts w:ascii="Arial Narrow" w:eastAsia="Times New Roman" w:hAnsi="Arial Narrow" w:cs="Times New Roman"/>
                <w:bCs/>
                <w:sz w:val="16"/>
                <w:szCs w:val="16"/>
                <w:lang w:eastAsia="fr-FR"/>
              </w:rPr>
            </w:pPr>
            <w:r w:rsidRPr="00FE5EE8">
              <w:rPr>
                <w:rFonts w:ascii="Arial Narrow" w:eastAsia="Times New Roman" w:hAnsi="Arial Narrow" w:cs="Times New Roman"/>
                <w:bCs/>
                <w:sz w:val="16"/>
                <w:szCs w:val="16"/>
                <w:lang w:eastAsia="fr-FR"/>
              </w:rPr>
              <w:t>1,0</w:t>
            </w:r>
            <w:r w:rsidR="00C71A6E">
              <w:rPr>
                <w:rFonts w:ascii="Arial Narrow" w:eastAsia="Times New Roman" w:hAnsi="Arial Narrow" w:cs="Times New Roman"/>
                <w:bCs/>
                <w:sz w:val="16"/>
                <w:szCs w:val="16"/>
                <w:lang w:eastAsia="fr-FR"/>
              </w:rPr>
              <w:t>1</w:t>
            </w:r>
          </w:p>
        </w:tc>
        <w:tc>
          <w:tcPr>
            <w:tcW w:w="992" w:type="dxa"/>
          </w:tcPr>
          <w:p w14:paraId="37CC2D99" w14:textId="77777777" w:rsidR="00A653FB" w:rsidRPr="00FE5EE8" w:rsidRDefault="00C71A6E" w:rsidP="00466AE7">
            <w:pPr>
              <w:spacing w:before="60" w:after="60"/>
              <w:jc w:val="center"/>
              <w:outlineLvl w:val="1"/>
              <w:rPr>
                <w:rFonts w:ascii="Arial Narrow" w:eastAsia="Times New Roman" w:hAnsi="Arial Narrow" w:cs="Times New Roman"/>
                <w:bCs/>
                <w:sz w:val="16"/>
                <w:szCs w:val="16"/>
                <w:lang w:eastAsia="fr-FR"/>
              </w:rPr>
            </w:pPr>
            <w:r>
              <w:rPr>
                <w:rFonts w:ascii="Arial Narrow" w:eastAsia="Times New Roman" w:hAnsi="Arial Narrow" w:cs="Times New Roman"/>
                <w:bCs/>
                <w:sz w:val="16"/>
                <w:szCs w:val="16"/>
                <w:lang w:eastAsia="fr-FR"/>
              </w:rPr>
              <w:t>1,01</w:t>
            </w:r>
          </w:p>
        </w:tc>
      </w:tr>
    </w:tbl>
    <w:p w14:paraId="621B2FDA" w14:textId="77777777" w:rsidR="006808C1" w:rsidRDefault="006808C1" w:rsidP="00865160">
      <w:pPr>
        <w:autoSpaceDE w:val="0"/>
        <w:autoSpaceDN w:val="0"/>
        <w:adjustRightInd w:val="0"/>
        <w:jc w:val="both"/>
        <w:rPr>
          <w:rFonts w:ascii="Arial Narrow" w:hAnsi="Arial Narrow" w:cs="CIDFont+F4"/>
          <w:color w:val="000000"/>
          <w:u w:val="single"/>
        </w:rPr>
      </w:pPr>
    </w:p>
    <w:tbl>
      <w:tblPr>
        <w:tblStyle w:val="Grilledutableau"/>
        <w:tblW w:w="9231" w:type="dxa"/>
        <w:tblLayout w:type="fixed"/>
        <w:tblLook w:val="04A0" w:firstRow="1" w:lastRow="0" w:firstColumn="1" w:lastColumn="0" w:noHBand="0" w:noVBand="1"/>
      </w:tblPr>
      <w:tblGrid>
        <w:gridCol w:w="1407"/>
        <w:gridCol w:w="984"/>
        <w:gridCol w:w="984"/>
        <w:gridCol w:w="984"/>
        <w:gridCol w:w="984"/>
        <w:gridCol w:w="972"/>
        <w:gridCol w:w="972"/>
        <w:gridCol w:w="972"/>
        <w:gridCol w:w="972"/>
      </w:tblGrid>
      <w:tr w:rsidR="00A653FB" w:rsidRPr="00FE5EE8" w14:paraId="2981B8F1" w14:textId="77777777" w:rsidTr="00A653FB">
        <w:tc>
          <w:tcPr>
            <w:tcW w:w="1407" w:type="dxa"/>
            <w:tcBorders>
              <w:top w:val="nil"/>
              <w:left w:val="nil"/>
            </w:tcBorders>
          </w:tcPr>
          <w:p w14:paraId="4807975C" w14:textId="77777777" w:rsidR="00A653FB" w:rsidRPr="00FE5EE8" w:rsidRDefault="00A653FB" w:rsidP="00B71B1B">
            <w:pPr>
              <w:spacing w:before="60" w:after="60"/>
              <w:jc w:val="center"/>
              <w:outlineLvl w:val="1"/>
              <w:rPr>
                <w:rFonts w:ascii="Arial" w:eastAsia="Times New Roman" w:hAnsi="Arial" w:cs="Arial"/>
                <w:bCs/>
                <w:sz w:val="16"/>
                <w:szCs w:val="16"/>
                <w:lang w:eastAsia="fr-FR"/>
              </w:rPr>
            </w:pPr>
          </w:p>
        </w:tc>
        <w:tc>
          <w:tcPr>
            <w:tcW w:w="984" w:type="dxa"/>
          </w:tcPr>
          <w:p w14:paraId="6646841A" w14:textId="77777777" w:rsidR="00A653FB" w:rsidRPr="00FE5EE8" w:rsidRDefault="00A653FB" w:rsidP="00B71B1B">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2017</w:t>
            </w:r>
          </w:p>
        </w:tc>
        <w:tc>
          <w:tcPr>
            <w:tcW w:w="984" w:type="dxa"/>
          </w:tcPr>
          <w:p w14:paraId="3A46D7ED" w14:textId="77777777" w:rsidR="00A653FB" w:rsidRPr="00FE5EE8" w:rsidRDefault="00A653FB" w:rsidP="00B71B1B">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2018</w:t>
            </w:r>
          </w:p>
        </w:tc>
        <w:tc>
          <w:tcPr>
            <w:tcW w:w="984" w:type="dxa"/>
          </w:tcPr>
          <w:p w14:paraId="4AD669F3" w14:textId="77777777" w:rsidR="00A653FB" w:rsidRPr="00FE5EE8" w:rsidRDefault="00A653FB" w:rsidP="00B71B1B">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2019</w:t>
            </w:r>
          </w:p>
        </w:tc>
        <w:tc>
          <w:tcPr>
            <w:tcW w:w="984" w:type="dxa"/>
          </w:tcPr>
          <w:p w14:paraId="1EAB7ABA" w14:textId="77777777" w:rsidR="00A653FB" w:rsidRPr="00FE5EE8" w:rsidRDefault="00A653FB" w:rsidP="00B71B1B">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2020</w:t>
            </w:r>
          </w:p>
        </w:tc>
        <w:tc>
          <w:tcPr>
            <w:tcW w:w="972" w:type="dxa"/>
          </w:tcPr>
          <w:p w14:paraId="338FF72E" w14:textId="77777777" w:rsidR="00A653FB" w:rsidRPr="00FE5EE8" w:rsidRDefault="00A653FB" w:rsidP="00B71B1B">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2021</w:t>
            </w:r>
          </w:p>
        </w:tc>
        <w:tc>
          <w:tcPr>
            <w:tcW w:w="972" w:type="dxa"/>
          </w:tcPr>
          <w:p w14:paraId="350A6FBC" w14:textId="77777777" w:rsidR="00A653FB" w:rsidRPr="00FE5EE8" w:rsidRDefault="00A653FB" w:rsidP="00B71B1B">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2022</w:t>
            </w:r>
          </w:p>
        </w:tc>
        <w:tc>
          <w:tcPr>
            <w:tcW w:w="972" w:type="dxa"/>
          </w:tcPr>
          <w:p w14:paraId="6C6D58D5" w14:textId="77777777" w:rsidR="00A653FB" w:rsidRPr="00FE5EE8" w:rsidRDefault="00A653FB" w:rsidP="00B71B1B">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2023</w:t>
            </w:r>
          </w:p>
        </w:tc>
        <w:tc>
          <w:tcPr>
            <w:tcW w:w="972" w:type="dxa"/>
          </w:tcPr>
          <w:p w14:paraId="39F5E5E8" w14:textId="77777777" w:rsidR="00A653FB" w:rsidRDefault="003011F6" w:rsidP="00B71B1B">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2024</w:t>
            </w:r>
          </w:p>
        </w:tc>
      </w:tr>
      <w:tr w:rsidR="006B03F6" w:rsidRPr="00FE5EE8" w14:paraId="13848207" w14:textId="77777777" w:rsidTr="00FC15DB">
        <w:tc>
          <w:tcPr>
            <w:tcW w:w="1407" w:type="dxa"/>
          </w:tcPr>
          <w:p w14:paraId="70A0D036" w14:textId="77777777" w:rsidR="006B03F6" w:rsidRPr="00FE5EE8" w:rsidRDefault="006B03F6" w:rsidP="00B71B1B">
            <w:pPr>
              <w:spacing w:before="60" w:after="60"/>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 xml:space="preserve">Taux de TH </w:t>
            </w:r>
          </w:p>
        </w:tc>
        <w:tc>
          <w:tcPr>
            <w:tcW w:w="984" w:type="dxa"/>
          </w:tcPr>
          <w:p w14:paraId="64609F93" w14:textId="77777777" w:rsidR="006B03F6" w:rsidRPr="00FE5EE8" w:rsidRDefault="006B03F6" w:rsidP="00C66596">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24,36</w:t>
            </w:r>
          </w:p>
        </w:tc>
        <w:tc>
          <w:tcPr>
            <w:tcW w:w="984" w:type="dxa"/>
          </w:tcPr>
          <w:p w14:paraId="69D6C342" w14:textId="77777777" w:rsidR="006B03F6" w:rsidRPr="00FE5EE8" w:rsidRDefault="006B03F6" w:rsidP="00C66596">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24,36</w:t>
            </w:r>
          </w:p>
        </w:tc>
        <w:tc>
          <w:tcPr>
            <w:tcW w:w="984" w:type="dxa"/>
          </w:tcPr>
          <w:p w14:paraId="6F0DBAA7" w14:textId="77777777" w:rsidR="006B03F6" w:rsidRPr="00FE5EE8" w:rsidRDefault="006B03F6" w:rsidP="00C66596">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24,36</w:t>
            </w:r>
          </w:p>
        </w:tc>
        <w:tc>
          <w:tcPr>
            <w:tcW w:w="984" w:type="dxa"/>
          </w:tcPr>
          <w:p w14:paraId="7CBE8649" w14:textId="77777777" w:rsidR="006B03F6" w:rsidRPr="00FE5EE8" w:rsidRDefault="006B03F6" w:rsidP="00C66596">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24,36</w:t>
            </w:r>
          </w:p>
        </w:tc>
        <w:tc>
          <w:tcPr>
            <w:tcW w:w="3888" w:type="dxa"/>
            <w:gridSpan w:val="4"/>
          </w:tcPr>
          <w:p w14:paraId="343294D5" w14:textId="77777777" w:rsidR="006B03F6" w:rsidRPr="00FE5EE8" w:rsidRDefault="006B03F6" w:rsidP="00C9368F">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24,36% pour les seules résidences secondaires</w:t>
            </w:r>
          </w:p>
        </w:tc>
      </w:tr>
      <w:tr w:rsidR="00A653FB" w:rsidRPr="00FE5EE8" w14:paraId="7A3E5A36" w14:textId="77777777" w:rsidTr="00A653FB">
        <w:tc>
          <w:tcPr>
            <w:tcW w:w="1407" w:type="dxa"/>
          </w:tcPr>
          <w:p w14:paraId="5D7D076E" w14:textId="77777777" w:rsidR="00A653FB" w:rsidRPr="00FE5EE8" w:rsidRDefault="00A653FB" w:rsidP="00B71B1B">
            <w:pPr>
              <w:spacing w:before="60" w:after="60"/>
              <w:outlineLvl w:val="1"/>
              <w:rPr>
                <w:rFonts w:ascii="Arial" w:eastAsia="Times New Roman" w:hAnsi="Arial" w:cs="Arial"/>
                <w:bCs/>
                <w:sz w:val="16"/>
                <w:szCs w:val="16"/>
                <w:lang w:eastAsia="fr-FR"/>
              </w:rPr>
            </w:pPr>
            <w:r>
              <w:rPr>
                <w:rFonts w:ascii="Arial" w:eastAsia="Times New Roman" w:hAnsi="Arial" w:cs="Arial"/>
                <w:bCs/>
                <w:sz w:val="16"/>
                <w:szCs w:val="16"/>
                <w:lang w:eastAsia="fr-FR"/>
              </w:rPr>
              <w:t>Taux de TFP</w:t>
            </w:r>
            <w:r w:rsidRPr="00FE5EE8">
              <w:rPr>
                <w:rFonts w:ascii="Arial" w:eastAsia="Times New Roman" w:hAnsi="Arial" w:cs="Arial"/>
                <w:bCs/>
                <w:sz w:val="16"/>
                <w:szCs w:val="16"/>
                <w:lang w:eastAsia="fr-FR"/>
              </w:rPr>
              <w:t>B</w:t>
            </w:r>
          </w:p>
        </w:tc>
        <w:tc>
          <w:tcPr>
            <w:tcW w:w="984" w:type="dxa"/>
          </w:tcPr>
          <w:p w14:paraId="2092EC57" w14:textId="77777777" w:rsidR="00A653FB" w:rsidRPr="00FE5EE8" w:rsidRDefault="00A653FB" w:rsidP="00C66596">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23,21</w:t>
            </w:r>
          </w:p>
        </w:tc>
        <w:tc>
          <w:tcPr>
            <w:tcW w:w="984" w:type="dxa"/>
          </w:tcPr>
          <w:p w14:paraId="3F81963B" w14:textId="77777777" w:rsidR="00A653FB" w:rsidRPr="00FE5EE8" w:rsidRDefault="00A653FB" w:rsidP="00C66596">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23,21</w:t>
            </w:r>
          </w:p>
        </w:tc>
        <w:tc>
          <w:tcPr>
            <w:tcW w:w="984" w:type="dxa"/>
          </w:tcPr>
          <w:p w14:paraId="696D19FE" w14:textId="77777777" w:rsidR="00A653FB" w:rsidRPr="00FE5EE8" w:rsidRDefault="00A653FB" w:rsidP="00C66596">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23,21</w:t>
            </w:r>
          </w:p>
        </w:tc>
        <w:tc>
          <w:tcPr>
            <w:tcW w:w="984" w:type="dxa"/>
          </w:tcPr>
          <w:p w14:paraId="198B06D5" w14:textId="77777777" w:rsidR="00A653FB" w:rsidRPr="00FE5EE8" w:rsidRDefault="00A653FB" w:rsidP="00C66596">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23,21</w:t>
            </w:r>
          </w:p>
        </w:tc>
        <w:tc>
          <w:tcPr>
            <w:tcW w:w="972" w:type="dxa"/>
          </w:tcPr>
          <w:p w14:paraId="0591DFE4" w14:textId="77777777" w:rsidR="00A653FB" w:rsidRPr="00FE5EE8" w:rsidRDefault="00A653FB" w:rsidP="00C66596">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36,96</w:t>
            </w:r>
          </w:p>
        </w:tc>
        <w:tc>
          <w:tcPr>
            <w:tcW w:w="972" w:type="dxa"/>
          </w:tcPr>
          <w:p w14:paraId="4846DE62" w14:textId="77777777" w:rsidR="00A653FB" w:rsidRPr="00FE5EE8" w:rsidRDefault="00A653FB" w:rsidP="00C66596">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36,96</w:t>
            </w:r>
          </w:p>
        </w:tc>
        <w:tc>
          <w:tcPr>
            <w:tcW w:w="972" w:type="dxa"/>
          </w:tcPr>
          <w:p w14:paraId="61CE240D" w14:textId="77777777" w:rsidR="00A653FB" w:rsidRPr="00FE5EE8" w:rsidRDefault="00A653FB" w:rsidP="00C66596">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36,96</w:t>
            </w:r>
          </w:p>
        </w:tc>
        <w:tc>
          <w:tcPr>
            <w:tcW w:w="972" w:type="dxa"/>
          </w:tcPr>
          <w:p w14:paraId="3C49E761" w14:textId="77777777" w:rsidR="00A653FB" w:rsidRPr="00FE5EE8" w:rsidRDefault="006B03F6" w:rsidP="00C66596">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36,96</w:t>
            </w:r>
          </w:p>
        </w:tc>
      </w:tr>
      <w:tr w:rsidR="00A653FB" w:rsidRPr="00FE5EE8" w14:paraId="1AACA00A" w14:textId="77777777" w:rsidTr="00A653FB">
        <w:tc>
          <w:tcPr>
            <w:tcW w:w="1407" w:type="dxa"/>
            <w:tcBorders>
              <w:bottom w:val="single" w:sz="4" w:space="0" w:color="000000" w:themeColor="text1"/>
            </w:tcBorders>
          </w:tcPr>
          <w:p w14:paraId="4517D1FD" w14:textId="77777777" w:rsidR="00A653FB" w:rsidRPr="00FE5EE8" w:rsidRDefault="00A653FB" w:rsidP="00B71B1B">
            <w:pPr>
              <w:spacing w:before="60" w:after="60"/>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 xml:space="preserve">Taux de </w:t>
            </w:r>
            <w:r>
              <w:rPr>
                <w:rFonts w:ascii="Arial" w:eastAsia="Times New Roman" w:hAnsi="Arial" w:cs="Arial"/>
                <w:bCs/>
                <w:sz w:val="16"/>
                <w:szCs w:val="16"/>
                <w:lang w:eastAsia="fr-FR"/>
              </w:rPr>
              <w:t>T</w:t>
            </w:r>
            <w:r w:rsidRPr="00FE5EE8">
              <w:rPr>
                <w:rFonts w:ascii="Arial" w:eastAsia="Times New Roman" w:hAnsi="Arial" w:cs="Arial"/>
                <w:bCs/>
                <w:sz w:val="16"/>
                <w:szCs w:val="16"/>
                <w:lang w:eastAsia="fr-FR"/>
              </w:rPr>
              <w:t>FNB</w:t>
            </w:r>
          </w:p>
        </w:tc>
        <w:tc>
          <w:tcPr>
            <w:tcW w:w="984" w:type="dxa"/>
            <w:tcBorders>
              <w:bottom w:val="single" w:sz="4" w:space="0" w:color="000000" w:themeColor="text1"/>
            </w:tcBorders>
          </w:tcPr>
          <w:p w14:paraId="3DDFA0DD" w14:textId="77777777" w:rsidR="00A653FB" w:rsidRPr="00FE5EE8" w:rsidRDefault="00A653FB" w:rsidP="00C66596">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49,44</w:t>
            </w:r>
          </w:p>
        </w:tc>
        <w:tc>
          <w:tcPr>
            <w:tcW w:w="984" w:type="dxa"/>
            <w:tcBorders>
              <w:bottom w:val="single" w:sz="4" w:space="0" w:color="000000" w:themeColor="text1"/>
            </w:tcBorders>
          </w:tcPr>
          <w:p w14:paraId="472B22D7" w14:textId="77777777" w:rsidR="00A653FB" w:rsidRPr="00FE5EE8" w:rsidRDefault="00A653FB" w:rsidP="00C66596">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49,44</w:t>
            </w:r>
          </w:p>
        </w:tc>
        <w:tc>
          <w:tcPr>
            <w:tcW w:w="984" w:type="dxa"/>
            <w:tcBorders>
              <w:bottom w:val="single" w:sz="4" w:space="0" w:color="000000" w:themeColor="text1"/>
            </w:tcBorders>
          </w:tcPr>
          <w:p w14:paraId="5CE462CD" w14:textId="77777777" w:rsidR="00A653FB" w:rsidRPr="00FE5EE8" w:rsidRDefault="00A653FB" w:rsidP="00C66596">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49,44</w:t>
            </w:r>
          </w:p>
        </w:tc>
        <w:tc>
          <w:tcPr>
            <w:tcW w:w="984" w:type="dxa"/>
            <w:tcBorders>
              <w:bottom w:val="single" w:sz="4" w:space="0" w:color="000000" w:themeColor="text1"/>
            </w:tcBorders>
          </w:tcPr>
          <w:p w14:paraId="40AF445D" w14:textId="77777777" w:rsidR="00A653FB" w:rsidRPr="00FE5EE8" w:rsidRDefault="00A653FB" w:rsidP="00C66596">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49,44</w:t>
            </w:r>
          </w:p>
        </w:tc>
        <w:tc>
          <w:tcPr>
            <w:tcW w:w="972" w:type="dxa"/>
            <w:tcBorders>
              <w:bottom w:val="single" w:sz="4" w:space="0" w:color="000000" w:themeColor="text1"/>
            </w:tcBorders>
          </w:tcPr>
          <w:p w14:paraId="1EDE8139" w14:textId="77777777" w:rsidR="00A653FB" w:rsidRPr="00FE5EE8" w:rsidRDefault="00A653FB" w:rsidP="00C66596">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49,44</w:t>
            </w:r>
          </w:p>
        </w:tc>
        <w:tc>
          <w:tcPr>
            <w:tcW w:w="972" w:type="dxa"/>
            <w:tcBorders>
              <w:bottom w:val="single" w:sz="4" w:space="0" w:color="000000" w:themeColor="text1"/>
            </w:tcBorders>
          </w:tcPr>
          <w:p w14:paraId="59102E97" w14:textId="77777777" w:rsidR="00A653FB" w:rsidRPr="00FE5EE8" w:rsidRDefault="00A653FB" w:rsidP="00C66596">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49,44</w:t>
            </w:r>
          </w:p>
        </w:tc>
        <w:tc>
          <w:tcPr>
            <w:tcW w:w="972" w:type="dxa"/>
            <w:tcBorders>
              <w:bottom w:val="single" w:sz="4" w:space="0" w:color="000000" w:themeColor="text1"/>
            </w:tcBorders>
          </w:tcPr>
          <w:p w14:paraId="5CD82A40" w14:textId="77777777" w:rsidR="00A653FB" w:rsidRPr="00FE5EE8" w:rsidRDefault="00A653FB" w:rsidP="00C66596">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49,44</w:t>
            </w:r>
          </w:p>
        </w:tc>
        <w:tc>
          <w:tcPr>
            <w:tcW w:w="972" w:type="dxa"/>
            <w:tcBorders>
              <w:bottom w:val="single" w:sz="4" w:space="0" w:color="000000" w:themeColor="text1"/>
            </w:tcBorders>
          </w:tcPr>
          <w:p w14:paraId="6BD9B975" w14:textId="77777777" w:rsidR="00A653FB" w:rsidRPr="00FE5EE8" w:rsidRDefault="006B03F6" w:rsidP="00C66596">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49,44</w:t>
            </w:r>
          </w:p>
        </w:tc>
      </w:tr>
    </w:tbl>
    <w:p w14:paraId="6B844DB6" w14:textId="77777777" w:rsidR="00BC201A" w:rsidRPr="00A46A29" w:rsidRDefault="00BC201A" w:rsidP="00466AE7">
      <w:pPr>
        <w:autoSpaceDE w:val="0"/>
        <w:autoSpaceDN w:val="0"/>
        <w:adjustRightInd w:val="0"/>
        <w:spacing w:before="120" w:after="0"/>
        <w:jc w:val="both"/>
        <w:rPr>
          <w:rFonts w:ascii="Arial" w:hAnsi="Arial" w:cs="Arial"/>
          <w:sz w:val="16"/>
          <w:szCs w:val="16"/>
        </w:rPr>
      </w:pPr>
      <w:r w:rsidRPr="00A46A29">
        <w:rPr>
          <w:rFonts w:ascii="Arial" w:hAnsi="Arial" w:cs="Arial"/>
          <w:sz w:val="16"/>
          <w:szCs w:val="16"/>
        </w:rPr>
        <w:t>Source :</w:t>
      </w:r>
      <w:r w:rsidR="00A46A29">
        <w:rPr>
          <w:rFonts w:ascii="Arial" w:hAnsi="Arial" w:cs="Arial"/>
          <w:sz w:val="16"/>
          <w:szCs w:val="16"/>
        </w:rPr>
        <w:t xml:space="preserve"> états fiscaux 1288 (2017</w:t>
      </w:r>
      <w:r w:rsidR="00A46A29" w:rsidRPr="00A46A29">
        <w:rPr>
          <w:rFonts w:ascii="Arial" w:hAnsi="Arial" w:cs="Arial"/>
          <w:sz w:val="16"/>
          <w:szCs w:val="16"/>
        </w:rPr>
        <w:t xml:space="preserve"> à 2021</w:t>
      </w:r>
      <w:r w:rsidRPr="00A46A29">
        <w:rPr>
          <w:rFonts w:ascii="Arial" w:hAnsi="Arial" w:cs="Arial"/>
          <w:sz w:val="16"/>
          <w:szCs w:val="16"/>
        </w:rPr>
        <w:t>)</w:t>
      </w:r>
    </w:p>
    <w:p w14:paraId="4DA63428" w14:textId="77777777" w:rsidR="007C502B" w:rsidRDefault="007C502B" w:rsidP="00865160">
      <w:pPr>
        <w:autoSpaceDE w:val="0"/>
        <w:autoSpaceDN w:val="0"/>
        <w:adjustRightInd w:val="0"/>
        <w:jc w:val="both"/>
        <w:rPr>
          <w:rFonts w:ascii="Arial" w:hAnsi="Arial" w:cs="Arial"/>
          <w:color w:val="000000"/>
          <w:sz w:val="16"/>
          <w:szCs w:val="16"/>
        </w:rPr>
      </w:pPr>
    </w:p>
    <w:p w14:paraId="7C2BB1E1" w14:textId="77777777" w:rsidR="007A1EDB" w:rsidRPr="001D6B59" w:rsidRDefault="007A1EDB" w:rsidP="00865160">
      <w:pPr>
        <w:autoSpaceDE w:val="0"/>
        <w:autoSpaceDN w:val="0"/>
        <w:adjustRightInd w:val="0"/>
        <w:jc w:val="both"/>
        <w:rPr>
          <w:rFonts w:ascii="Arial" w:hAnsi="Arial" w:cs="Arial"/>
          <w:sz w:val="20"/>
          <w:szCs w:val="20"/>
        </w:rPr>
      </w:pPr>
      <w:r w:rsidRPr="001D6B59">
        <w:rPr>
          <w:rFonts w:ascii="Arial" w:hAnsi="Arial" w:cs="Arial"/>
          <w:sz w:val="20"/>
          <w:szCs w:val="20"/>
        </w:rPr>
        <w:t xml:space="preserve">Les taux de fiscalité sont restés stables ; ils n’ont pas augmenté et sont aujourd’hui de même niveau qu’en </w:t>
      </w:r>
      <w:r w:rsidR="009D4FDB" w:rsidRPr="001D6B59">
        <w:rPr>
          <w:rFonts w:ascii="Arial" w:hAnsi="Arial" w:cs="Arial"/>
          <w:sz w:val="20"/>
          <w:szCs w:val="20"/>
        </w:rPr>
        <w:t>2009</w:t>
      </w:r>
      <w:r w:rsidR="002A16C7" w:rsidRPr="001D6B59">
        <w:rPr>
          <w:rFonts w:ascii="Arial" w:hAnsi="Arial" w:cs="Arial"/>
          <w:sz w:val="20"/>
          <w:szCs w:val="20"/>
        </w:rPr>
        <w:t>.</w:t>
      </w:r>
      <w:r w:rsidR="006B03F6">
        <w:rPr>
          <w:rFonts w:ascii="Arial" w:hAnsi="Arial" w:cs="Arial"/>
          <w:sz w:val="20"/>
          <w:szCs w:val="20"/>
        </w:rPr>
        <w:t xml:space="preserve"> </w:t>
      </w:r>
      <w:r w:rsidRPr="001D6B59">
        <w:rPr>
          <w:rFonts w:ascii="Arial" w:hAnsi="Arial" w:cs="Arial"/>
          <w:sz w:val="20"/>
          <w:szCs w:val="20"/>
        </w:rPr>
        <w:t xml:space="preserve">Cependant, la ville, malgré ses efforts de gestion, a été contrainte </w:t>
      </w:r>
      <w:r w:rsidR="009D4FDB" w:rsidRPr="001D6B59">
        <w:rPr>
          <w:rFonts w:ascii="Arial" w:hAnsi="Arial" w:cs="Arial"/>
          <w:sz w:val="20"/>
          <w:szCs w:val="20"/>
        </w:rPr>
        <w:t xml:space="preserve">en 2018 </w:t>
      </w:r>
      <w:r w:rsidRPr="001D6B59">
        <w:rPr>
          <w:rFonts w:ascii="Arial" w:hAnsi="Arial" w:cs="Arial"/>
          <w:sz w:val="20"/>
          <w:szCs w:val="20"/>
        </w:rPr>
        <w:t xml:space="preserve">de répercuter une partie de la baisse </w:t>
      </w:r>
      <w:r w:rsidR="001839CE" w:rsidRPr="001D6B59">
        <w:rPr>
          <w:rFonts w:ascii="Arial" w:hAnsi="Arial" w:cs="Arial"/>
          <w:sz w:val="20"/>
          <w:szCs w:val="20"/>
        </w:rPr>
        <w:t xml:space="preserve">cumulée </w:t>
      </w:r>
      <w:r w:rsidRPr="001D6B59">
        <w:rPr>
          <w:rFonts w:ascii="Arial" w:hAnsi="Arial" w:cs="Arial"/>
          <w:sz w:val="20"/>
          <w:szCs w:val="20"/>
        </w:rPr>
        <w:t>des dotations de l’Etat sur la fiscalité</w:t>
      </w:r>
      <w:r w:rsidR="00081DE5" w:rsidRPr="001D6B59">
        <w:rPr>
          <w:rFonts w:ascii="Arial" w:hAnsi="Arial" w:cs="Arial"/>
          <w:sz w:val="20"/>
          <w:szCs w:val="20"/>
        </w:rPr>
        <w:t xml:space="preserve"> en ramenant l’abattement général à la base </w:t>
      </w:r>
      <w:r w:rsidR="003E45A3" w:rsidRPr="001D6B59">
        <w:rPr>
          <w:rFonts w:ascii="Arial" w:hAnsi="Arial" w:cs="Arial"/>
          <w:sz w:val="20"/>
          <w:szCs w:val="20"/>
        </w:rPr>
        <w:t>20</w:t>
      </w:r>
      <w:r w:rsidR="00081DE5" w:rsidRPr="001D6B59">
        <w:rPr>
          <w:rFonts w:ascii="Arial" w:hAnsi="Arial" w:cs="Arial"/>
          <w:sz w:val="20"/>
          <w:szCs w:val="20"/>
        </w:rPr>
        <w:t xml:space="preserve">% à 10% </w:t>
      </w:r>
      <w:r w:rsidR="003E45A3" w:rsidRPr="001D6B59">
        <w:rPr>
          <w:rFonts w:ascii="Arial" w:hAnsi="Arial" w:cs="Arial"/>
          <w:sz w:val="20"/>
          <w:szCs w:val="20"/>
        </w:rPr>
        <w:t xml:space="preserve">(ce dernier ne pouvant excéder 15%) </w:t>
      </w:r>
      <w:r w:rsidR="00081DE5" w:rsidRPr="001D6B59">
        <w:rPr>
          <w:rFonts w:ascii="Arial" w:hAnsi="Arial" w:cs="Arial"/>
          <w:sz w:val="20"/>
          <w:szCs w:val="20"/>
        </w:rPr>
        <w:t>et en supprimant l’abattement spécial à la base</w:t>
      </w:r>
      <w:r w:rsidR="003E45A3" w:rsidRPr="001D6B59">
        <w:rPr>
          <w:rFonts w:ascii="Arial" w:hAnsi="Arial" w:cs="Arial"/>
          <w:sz w:val="20"/>
          <w:szCs w:val="20"/>
        </w:rPr>
        <w:t xml:space="preserve"> visant très peu de contribuables et compensé dès 2018 par la suppression graduelle de la taxe d’habitation.</w:t>
      </w:r>
    </w:p>
    <w:p w14:paraId="3353EC4A" w14:textId="77777777" w:rsidR="00714DA7" w:rsidRPr="006B03F6" w:rsidRDefault="006B03F6" w:rsidP="00865160">
      <w:pPr>
        <w:autoSpaceDE w:val="0"/>
        <w:autoSpaceDN w:val="0"/>
        <w:adjustRightInd w:val="0"/>
        <w:jc w:val="both"/>
        <w:rPr>
          <w:rFonts w:ascii="Arial" w:hAnsi="Arial" w:cs="Arial"/>
          <w:color w:val="FF0000"/>
          <w:sz w:val="20"/>
          <w:szCs w:val="20"/>
        </w:rPr>
      </w:pPr>
      <w:r>
        <w:rPr>
          <w:rFonts w:ascii="Arial" w:hAnsi="Arial" w:cs="Arial"/>
          <w:sz w:val="20"/>
          <w:szCs w:val="20"/>
        </w:rPr>
        <w:t>A compter de</w:t>
      </w:r>
      <w:r w:rsidR="00761F64" w:rsidRPr="001D6B59">
        <w:rPr>
          <w:rFonts w:ascii="Arial" w:hAnsi="Arial" w:cs="Arial"/>
          <w:sz w:val="20"/>
          <w:szCs w:val="20"/>
        </w:rPr>
        <w:t xml:space="preserve"> 2021, le taux de référence </w:t>
      </w:r>
      <w:r w:rsidR="001D6B59" w:rsidRPr="001D6B59">
        <w:rPr>
          <w:rFonts w:ascii="Arial" w:hAnsi="Arial" w:cs="Arial"/>
          <w:sz w:val="20"/>
          <w:szCs w:val="20"/>
        </w:rPr>
        <w:t xml:space="preserve">de la taxe sur le foncier bâti communale correspond à la somme du </w:t>
      </w:r>
      <w:r w:rsidR="0062089F">
        <w:rPr>
          <w:rFonts w:ascii="Arial" w:hAnsi="Arial" w:cs="Arial"/>
          <w:sz w:val="20"/>
          <w:szCs w:val="20"/>
        </w:rPr>
        <w:t>taux communal (23,21</w:t>
      </w:r>
      <w:r w:rsidR="001D6B59" w:rsidRPr="00542C41">
        <w:rPr>
          <w:rFonts w:ascii="Arial" w:hAnsi="Arial" w:cs="Arial"/>
          <w:sz w:val="20"/>
          <w:szCs w:val="20"/>
        </w:rPr>
        <w:t>%) et du taux départemental (</w:t>
      </w:r>
      <w:r w:rsidR="0062089F">
        <w:rPr>
          <w:rFonts w:ascii="Arial" w:hAnsi="Arial" w:cs="Arial"/>
          <w:sz w:val="20"/>
          <w:szCs w:val="20"/>
        </w:rPr>
        <w:t>13,75</w:t>
      </w:r>
      <w:r w:rsidR="001D6B59" w:rsidRPr="00542C41">
        <w:rPr>
          <w:rFonts w:ascii="Arial" w:hAnsi="Arial" w:cs="Arial"/>
          <w:sz w:val="20"/>
          <w:szCs w:val="20"/>
        </w:rPr>
        <w:t xml:space="preserve">%) </w:t>
      </w:r>
      <w:r w:rsidR="00542C41" w:rsidRPr="00542C41">
        <w:rPr>
          <w:rFonts w:ascii="Arial" w:hAnsi="Arial" w:cs="Arial"/>
          <w:sz w:val="20"/>
          <w:szCs w:val="20"/>
        </w:rPr>
        <w:t xml:space="preserve">de </w:t>
      </w:r>
      <w:r w:rsidR="001D6B59" w:rsidRPr="00542C41">
        <w:rPr>
          <w:rFonts w:ascii="Arial" w:hAnsi="Arial" w:cs="Arial"/>
          <w:sz w:val="20"/>
          <w:szCs w:val="20"/>
        </w:rPr>
        <w:t>2020</w:t>
      </w:r>
      <w:r w:rsidR="00542C41" w:rsidRPr="00542C41">
        <w:rPr>
          <w:rFonts w:ascii="Arial" w:hAnsi="Arial" w:cs="Arial"/>
          <w:sz w:val="20"/>
          <w:szCs w:val="20"/>
        </w:rPr>
        <w:t>,</w:t>
      </w:r>
      <w:r w:rsidR="001D6B59" w:rsidRPr="00542C41">
        <w:rPr>
          <w:rFonts w:ascii="Arial" w:hAnsi="Arial" w:cs="Arial"/>
          <w:sz w:val="20"/>
          <w:szCs w:val="20"/>
        </w:rPr>
        <w:t xml:space="preserve"> soit </w:t>
      </w:r>
      <w:r w:rsidR="00542C41" w:rsidRPr="00542C41">
        <w:rPr>
          <w:rFonts w:ascii="Arial" w:hAnsi="Arial" w:cs="Arial"/>
          <w:sz w:val="20"/>
          <w:szCs w:val="20"/>
        </w:rPr>
        <w:t xml:space="preserve">36,96 </w:t>
      </w:r>
      <w:r w:rsidR="001D6B59" w:rsidRPr="00542C41">
        <w:rPr>
          <w:rFonts w:ascii="Arial" w:hAnsi="Arial" w:cs="Arial"/>
          <w:sz w:val="20"/>
          <w:szCs w:val="20"/>
        </w:rPr>
        <w:t>%</w:t>
      </w:r>
      <w:r w:rsidR="00714DA7">
        <w:rPr>
          <w:rFonts w:ascii="Arial" w:hAnsi="Arial" w:cs="Arial"/>
          <w:sz w:val="20"/>
          <w:szCs w:val="20"/>
        </w:rPr>
        <w:t>, suite à la réaffectation à la commune de la part de taxe foncière précéde</w:t>
      </w:r>
      <w:r w:rsidR="002A5392">
        <w:rPr>
          <w:rFonts w:ascii="Arial" w:hAnsi="Arial" w:cs="Arial"/>
          <w:sz w:val="20"/>
          <w:szCs w:val="20"/>
        </w:rPr>
        <w:t>mment perçue par le Département, la réforme étant</w:t>
      </w:r>
      <w:r w:rsidR="00714DA7">
        <w:rPr>
          <w:rFonts w:ascii="Arial" w:hAnsi="Arial" w:cs="Arial"/>
          <w:sz w:val="20"/>
          <w:szCs w:val="20"/>
        </w:rPr>
        <w:t xml:space="preserve"> </w:t>
      </w:r>
      <w:r w:rsidR="00714DA7" w:rsidRPr="002A5392">
        <w:rPr>
          <w:rFonts w:ascii="Arial" w:hAnsi="Arial" w:cs="Arial"/>
          <w:bCs/>
          <w:sz w:val="20"/>
          <w:szCs w:val="20"/>
        </w:rPr>
        <w:t xml:space="preserve">sans incidence sur le montant de la taxe foncière payée par le </w:t>
      </w:r>
      <w:r w:rsidR="002A5392">
        <w:rPr>
          <w:rFonts w:ascii="Arial" w:hAnsi="Arial" w:cs="Arial"/>
          <w:bCs/>
          <w:sz w:val="20"/>
          <w:szCs w:val="20"/>
        </w:rPr>
        <w:t>contribuable.</w:t>
      </w:r>
    </w:p>
    <w:p w14:paraId="359CADEC" w14:textId="77777777" w:rsidR="00761F64" w:rsidRPr="00FC15DB" w:rsidRDefault="00BB4D5B" w:rsidP="00865160">
      <w:pPr>
        <w:autoSpaceDE w:val="0"/>
        <w:autoSpaceDN w:val="0"/>
        <w:adjustRightInd w:val="0"/>
        <w:jc w:val="both"/>
        <w:rPr>
          <w:rFonts w:ascii="Arial" w:hAnsi="Arial" w:cs="Arial"/>
          <w:sz w:val="20"/>
          <w:szCs w:val="20"/>
        </w:rPr>
      </w:pPr>
      <w:r w:rsidRPr="00BB4D5B">
        <w:rPr>
          <w:rFonts w:ascii="Arial" w:hAnsi="Arial" w:cs="Arial"/>
          <w:sz w:val="20"/>
          <w:szCs w:val="20"/>
        </w:rPr>
        <w:t>Depuis la loi de finances pour 2017</w:t>
      </w:r>
      <w:r>
        <w:rPr>
          <w:rFonts w:ascii="Arial" w:hAnsi="Arial" w:cs="Arial"/>
          <w:sz w:val="20"/>
          <w:szCs w:val="20"/>
        </w:rPr>
        <w:t>, le mode de calcul de la variation nominale des valeurs locatives des locaux autres que professionnels correspond à l’inflation constatée entre le mois de novembre n-2 et le mois de novembre n-1 (indice des prix à la consommation harmonisé (IPCH)</w:t>
      </w:r>
      <w:r w:rsidR="000D3AB4">
        <w:rPr>
          <w:rFonts w:ascii="Arial" w:hAnsi="Arial" w:cs="Arial"/>
          <w:sz w:val="20"/>
          <w:szCs w:val="20"/>
        </w:rPr>
        <w:t xml:space="preserve">. L’hypothèse retenue pour la construction du budget </w:t>
      </w:r>
      <w:r w:rsidR="00466AE7">
        <w:rPr>
          <w:rFonts w:ascii="Arial" w:hAnsi="Arial" w:cs="Arial"/>
          <w:sz w:val="20"/>
          <w:szCs w:val="20"/>
        </w:rPr>
        <w:t>20</w:t>
      </w:r>
      <w:r w:rsidR="002A5392">
        <w:rPr>
          <w:rFonts w:ascii="Arial" w:hAnsi="Arial" w:cs="Arial"/>
          <w:sz w:val="20"/>
          <w:szCs w:val="20"/>
        </w:rPr>
        <w:t>22</w:t>
      </w:r>
      <w:r w:rsidR="00466AE7">
        <w:rPr>
          <w:rFonts w:ascii="Arial" w:hAnsi="Arial" w:cs="Arial"/>
          <w:sz w:val="20"/>
          <w:szCs w:val="20"/>
        </w:rPr>
        <w:t xml:space="preserve"> </w:t>
      </w:r>
      <w:r w:rsidR="000D3AB4">
        <w:rPr>
          <w:rFonts w:ascii="Arial" w:hAnsi="Arial" w:cs="Arial"/>
          <w:sz w:val="20"/>
          <w:szCs w:val="20"/>
        </w:rPr>
        <w:t xml:space="preserve">est une revalorisation nominale des bases </w:t>
      </w:r>
      <w:r w:rsidR="002A5392">
        <w:rPr>
          <w:rFonts w:ascii="Arial" w:hAnsi="Arial" w:cs="Arial"/>
          <w:sz w:val="20"/>
          <w:szCs w:val="20"/>
        </w:rPr>
        <w:t>de 1,034</w:t>
      </w:r>
      <w:r w:rsidR="00466AE7">
        <w:rPr>
          <w:rFonts w:ascii="Arial" w:hAnsi="Arial" w:cs="Arial"/>
          <w:sz w:val="20"/>
          <w:szCs w:val="20"/>
        </w:rPr>
        <w:t xml:space="preserve">, </w:t>
      </w:r>
      <w:r w:rsidR="00466AE7" w:rsidRPr="00FC15DB">
        <w:rPr>
          <w:rFonts w:ascii="Arial" w:hAnsi="Arial" w:cs="Arial"/>
          <w:sz w:val="20"/>
          <w:szCs w:val="20"/>
        </w:rPr>
        <w:t xml:space="preserve">sans évolution physique </w:t>
      </w:r>
      <w:r w:rsidR="00A01EE3" w:rsidRPr="00FC15DB">
        <w:rPr>
          <w:rFonts w:ascii="Arial" w:hAnsi="Arial" w:cs="Arial"/>
          <w:sz w:val="20"/>
          <w:szCs w:val="20"/>
        </w:rPr>
        <w:t>de ces dernières</w:t>
      </w:r>
      <w:r w:rsidR="00466AE7" w:rsidRPr="00FC15DB">
        <w:rPr>
          <w:rFonts w:ascii="Arial" w:hAnsi="Arial" w:cs="Arial"/>
          <w:sz w:val="20"/>
          <w:szCs w:val="20"/>
        </w:rPr>
        <w:t xml:space="preserve"> et sans augmentation des taux</w:t>
      </w:r>
      <w:r w:rsidR="000D3AB4" w:rsidRPr="00FC15DB">
        <w:rPr>
          <w:rFonts w:ascii="Arial" w:hAnsi="Arial" w:cs="Arial"/>
          <w:sz w:val="20"/>
          <w:szCs w:val="20"/>
        </w:rPr>
        <w:t>.</w:t>
      </w:r>
    </w:p>
    <w:p w14:paraId="56C904CF" w14:textId="77777777" w:rsidR="003B2259" w:rsidRPr="00DD2658" w:rsidRDefault="00237ECA" w:rsidP="00B71B1B">
      <w:pPr>
        <w:autoSpaceDE w:val="0"/>
        <w:autoSpaceDN w:val="0"/>
        <w:adjustRightInd w:val="0"/>
        <w:jc w:val="both"/>
        <w:rPr>
          <w:rFonts w:ascii="Arial" w:hAnsi="Arial" w:cs="Arial"/>
          <w:sz w:val="20"/>
          <w:szCs w:val="20"/>
        </w:rPr>
      </w:pPr>
      <w:r>
        <w:rPr>
          <w:rFonts w:ascii="Arial" w:hAnsi="Arial" w:cs="Arial"/>
          <w:sz w:val="20"/>
          <w:szCs w:val="20"/>
        </w:rPr>
        <w:t>Le</w:t>
      </w:r>
      <w:r w:rsidR="0025059A" w:rsidRPr="00FC15DB">
        <w:rPr>
          <w:rFonts w:ascii="Arial" w:hAnsi="Arial" w:cs="Arial"/>
          <w:sz w:val="20"/>
          <w:szCs w:val="20"/>
        </w:rPr>
        <w:t xml:space="preserve"> produit des taxes</w:t>
      </w:r>
      <w:r w:rsidR="00AC3F6C" w:rsidRPr="00FC15DB">
        <w:rPr>
          <w:rFonts w:ascii="Arial" w:hAnsi="Arial" w:cs="Arial"/>
          <w:sz w:val="20"/>
          <w:szCs w:val="20"/>
        </w:rPr>
        <w:t xml:space="preserve"> </w:t>
      </w:r>
      <w:r w:rsidR="00FC15DB">
        <w:rPr>
          <w:rFonts w:ascii="Arial" w:hAnsi="Arial" w:cs="Arial"/>
          <w:sz w:val="20"/>
          <w:szCs w:val="20"/>
        </w:rPr>
        <w:t>et de la compensation</w:t>
      </w:r>
      <w:r w:rsidR="00D230F5" w:rsidRPr="00FC15DB">
        <w:rPr>
          <w:rFonts w:ascii="Arial" w:hAnsi="Arial" w:cs="Arial"/>
          <w:sz w:val="20"/>
          <w:szCs w:val="20"/>
        </w:rPr>
        <w:t xml:space="preserve"> </w:t>
      </w:r>
      <w:r w:rsidR="00FC15DB">
        <w:rPr>
          <w:rFonts w:ascii="Arial" w:hAnsi="Arial" w:cs="Arial"/>
          <w:sz w:val="20"/>
          <w:szCs w:val="20"/>
        </w:rPr>
        <w:t xml:space="preserve">de la réforme de la TH </w:t>
      </w:r>
      <w:r w:rsidR="00B107FC">
        <w:rPr>
          <w:rFonts w:ascii="Arial" w:hAnsi="Arial" w:cs="Arial"/>
          <w:sz w:val="20"/>
          <w:szCs w:val="20"/>
        </w:rPr>
        <w:t xml:space="preserve">– par </w:t>
      </w:r>
      <w:r w:rsidR="0025059A" w:rsidRPr="00FC15DB">
        <w:rPr>
          <w:rFonts w:ascii="Arial" w:hAnsi="Arial" w:cs="Arial"/>
          <w:sz w:val="20"/>
          <w:szCs w:val="20"/>
        </w:rPr>
        <w:t xml:space="preserve">application du coefficient correcteur </w:t>
      </w:r>
      <w:r w:rsidR="00AC3F6C" w:rsidRPr="00FC15DB">
        <w:rPr>
          <w:rFonts w:ascii="Arial" w:hAnsi="Arial" w:cs="Arial"/>
          <w:sz w:val="20"/>
          <w:szCs w:val="20"/>
        </w:rPr>
        <w:t>établi par l</w:t>
      </w:r>
      <w:r w:rsidR="00FC15DB" w:rsidRPr="00FC15DB">
        <w:rPr>
          <w:rFonts w:ascii="Arial" w:hAnsi="Arial" w:cs="Arial"/>
          <w:sz w:val="20"/>
          <w:szCs w:val="20"/>
        </w:rPr>
        <w:t>es services de la DGFIP et qui sera actualisé en janvier 2022</w:t>
      </w:r>
      <w:r w:rsidR="00CE720E">
        <w:rPr>
          <w:rFonts w:ascii="Arial" w:hAnsi="Arial" w:cs="Arial"/>
          <w:sz w:val="20"/>
          <w:szCs w:val="20"/>
        </w:rPr>
        <w:t xml:space="preserve"> pour intégrer notamment les rôles supplémentaires de TH 2020 émis jusqu’au 15 novembre 2021</w:t>
      </w:r>
      <w:r w:rsidR="00AC3F6C" w:rsidRPr="00FC15DB">
        <w:rPr>
          <w:rFonts w:ascii="Arial" w:hAnsi="Arial" w:cs="Arial"/>
          <w:sz w:val="20"/>
          <w:szCs w:val="20"/>
        </w:rPr>
        <w:t> –</w:t>
      </w:r>
      <w:r w:rsidR="00B107FC">
        <w:rPr>
          <w:rFonts w:ascii="Arial" w:hAnsi="Arial" w:cs="Arial"/>
          <w:sz w:val="20"/>
          <w:szCs w:val="20"/>
        </w:rPr>
        <w:t xml:space="preserve"> </w:t>
      </w:r>
      <w:r w:rsidR="003D1D12" w:rsidRPr="00FC15DB">
        <w:rPr>
          <w:rFonts w:ascii="Arial" w:hAnsi="Arial" w:cs="Arial"/>
          <w:sz w:val="20"/>
          <w:szCs w:val="20"/>
        </w:rPr>
        <w:t xml:space="preserve">peut-être estimé, </w:t>
      </w:r>
      <w:r w:rsidR="00AC3F6C" w:rsidRPr="00FC15DB">
        <w:rPr>
          <w:rFonts w:ascii="Arial" w:hAnsi="Arial" w:cs="Arial"/>
          <w:sz w:val="20"/>
          <w:szCs w:val="20"/>
        </w:rPr>
        <w:t xml:space="preserve">dans l’attente de sa </w:t>
      </w:r>
      <w:r w:rsidR="00AC3F6C" w:rsidRPr="00DD2658">
        <w:rPr>
          <w:rFonts w:ascii="Arial" w:hAnsi="Arial" w:cs="Arial"/>
          <w:sz w:val="20"/>
          <w:szCs w:val="20"/>
        </w:rPr>
        <w:t>notification</w:t>
      </w:r>
      <w:r w:rsidR="00DD2658">
        <w:rPr>
          <w:rFonts w:ascii="Arial" w:hAnsi="Arial" w:cs="Arial"/>
          <w:sz w:val="20"/>
          <w:szCs w:val="20"/>
        </w:rPr>
        <w:t>,</w:t>
      </w:r>
      <w:r w:rsidR="00FF63CD" w:rsidRPr="00DD2658">
        <w:rPr>
          <w:rFonts w:ascii="Arial" w:hAnsi="Arial" w:cs="Arial"/>
          <w:sz w:val="20"/>
          <w:szCs w:val="20"/>
        </w:rPr>
        <w:t xml:space="preserve"> </w:t>
      </w:r>
      <w:r w:rsidR="003D1D12" w:rsidRPr="00DD2658">
        <w:rPr>
          <w:rFonts w:ascii="Arial" w:hAnsi="Arial" w:cs="Arial"/>
          <w:sz w:val="20"/>
          <w:szCs w:val="20"/>
        </w:rPr>
        <w:t xml:space="preserve">à la somme de </w:t>
      </w:r>
      <w:r w:rsidR="00DD2658" w:rsidRPr="00DD2658">
        <w:rPr>
          <w:rFonts w:ascii="Arial" w:hAnsi="Arial" w:cs="Arial"/>
          <w:sz w:val="20"/>
          <w:szCs w:val="20"/>
        </w:rPr>
        <w:t>23 566 000</w:t>
      </w:r>
      <w:r w:rsidR="003D1D12" w:rsidRPr="00DD2658">
        <w:rPr>
          <w:rFonts w:ascii="Arial" w:hAnsi="Arial" w:cs="Arial"/>
          <w:sz w:val="20"/>
          <w:szCs w:val="20"/>
        </w:rPr>
        <w:t xml:space="preserve"> euros.</w:t>
      </w:r>
    </w:p>
    <w:p w14:paraId="78CA5D60" w14:textId="77777777" w:rsidR="007C502B" w:rsidRDefault="007C502B" w:rsidP="00B71B1B">
      <w:pPr>
        <w:autoSpaceDE w:val="0"/>
        <w:autoSpaceDN w:val="0"/>
        <w:adjustRightInd w:val="0"/>
        <w:jc w:val="both"/>
        <w:rPr>
          <w:rFonts w:ascii="Arial" w:hAnsi="Arial" w:cs="Arial"/>
          <w:sz w:val="20"/>
          <w:szCs w:val="20"/>
        </w:rPr>
      </w:pPr>
    </w:p>
    <w:p w14:paraId="066D2676" w14:textId="77777777" w:rsidR="00A650BD" w:rsidRDefault="00A650BD" w:rsidP="00B71B1B">
      <w:pPr>
        <w:autoSpaceDE w:val="0"/>
        <w:autoSpaceDN w:val="0"/>
        <w:adjustRightInd w:val="0"/>
        <w:jc w:val="both"/>
        <w:rPr>
          <w:rFonts w:ascii="Arial" w:hAnsi="Arial" w:cs="Arial"/>
          <w:sz w:val="20"/>
          <w:szCs w:val="20"/>
        </w:rPr>
      </w:pPr>
    </w:p>
    <w:p w14:paraId="246936A4" w14:textId="77777777" w:rsidR="00A650BD" w:rsidRDefault="00A650BD" w:rsidP="00B71B1B">
      <w:pPr>
        <w:autoSpaceDE w:val="0"/>
        <w:autoSpaceDN w:val="0"/>
        <w:adjustRightInd w:val="0"/>
        <w:jc w:val="both"/>
        <w:rPr>
          <w:rFonts w:ascii="Arial" w:hAnsi="Arial" w:cs="Arial"/>
          <w:sz w:val="20"/>
          <w:szCs w:val="20"/>
        </w:rPr>
      </w:pPr>
    </w:p>
    <w:p w14:paraId="7361E6C6" w14:textId="77777777" w:rsidR="00A650BD" w:rsidRPr="007C502B" w:rsidRDefault="00A650BD" w:rsidP="00B71B1B">
      <w:pPr>
        <w:autoSpaceDE w:val="0"/>
        <w:autoSpaceDN w:val="0"/>
        <w:adjustRightInd w:val="0"/>
        <w:jc w:val="both"/>
        <w:rPr>
          <w:rFonts w:ascii="Arial" w:hAnsi="Arial" w:cs="Arial"/>
          <w:sz w:val="20"/>
          <w:szCs w:val="20"/>
        </w:rPr>
      </w:pPr>
    </w:p>
    <w:p w14:paraId="0DDF38C9" w14:textId="77777777" w:rsidR="00B71B1B" w:rsidRPr="00FE5EE8" w:rsidRDefault="00B71B1B" w:rsidP="00B71B1B">
      <w:pPr>
        <w:autoSpaceDE w:val="0"/>
        <w:autoSpaceDN w:val="0"/>
        <w:adjustRightInd w:val="0"/>
        <w:jc w:val="both"/>
        <w:rPr>
          <w:rFonts w:ascii="Arial" w:hAnsi="Arial" w:cs="Arial"/>
          <w:color w:val="000000"/>
          <w:sz w:val="20"/>
          <w:szCs w:val="20"/>
          <w:u w:val="single"/>
        </w:rPr>
      </w:pPr>
      <w:r w:rsidRPr="00FE5EE8">
        <w:rPr>
          <w:rFonts w:ascii="Arial" w:hAnsi="Arial" w:cs="Arial"/>
          <w:color w:val="000000"/>
          <w:sz w:val="20"/>
          <w:szCs w:val="20"/>
          <w:u w:val="single"/>
        </w:rPr>
        <w:lastRenderedPageBreak/>
        <w:t>Les dotations</w:t>
      </w:r>
    </w:p>
    <w:p w14:paraId="47923E6D" w14:textId="77777777" w:rsidR="00B71B1B" w:rsidRPr="00FE5EE8" w:rsidRDefault="00B71B1B" w:rsidP="00B71B1B">
      <w:pPr>
        <w:autoSpaceDE w:val="0"/>
        <w:autoSpaceDN w:val="0"/>
        <w:adjustRightInd w:val="0"/>
        <w:jc w:val="both"/>
        <w:rPr>
          <w:rFonts w:ascii="Arial" w:hAnsi="Arial" w:cs="Arial"/>
          <w:color w:val="000000"/>
          <w:sz w:val="20"/>
          <w:szCs w:val="20"/>
        </w:rPr>
      </w:pPr>
      <w:r w:rsidRPr="00FE5EE8">
        <w:rPr>
          <w:rFonts w:ascii="Arial" w:hAnsi="Arial" w:cs="Arial"/>
          <w:color w:val="000000"/>
          <w:sz w:val="20"/>
          <w:szCs w:val="20"/>
        </w:rPr>
        <w:t xml:space="preserve">La </w:t>
      </w:r>
      <w:r w:rsidR="00B22FEB" w:rsidRPr="00FE5EE8">
        <w:rPr>
          <w:rFonts w:ascii="Arial" w:hAnsi="Arial" w:cs="Arial"/>
          <w:color w:val="000000"/>
          <w:sz w:val="20"/>
          <w:szCs w:val="20"/>
        </w:rPr>
        <w:t>dotation globale de fonctionnement (DGF)</w:t>
      </w:r>
      <w:r w:rsidR="00A37394" w:rsidRPr="00FE5EE8">
        <w:rPr>
          <w:rFonts w:ascii="Arial" w:hAnsi="Arial" w:cs="Arial"/>
          <w:color w:val="000000"/>
          <w:sz w:val="20"/>
          <w:szCs w:val="20"/>
        </w:rPr>
        <w:t xml:space="preserve">, </w:t>
      </w:r>
      <w:r w:rsidRPr="00FE5EE8">
        <w:rPr>
          <w:rFonts w:ascii="Arial" w:hAnsi="Arial" w:cs="Arial"/>
          <w:color w:val="000000"/>
          <w:sz w:val="20"/>
          <w:szCs w:val="20"/>
        </w:rPr>
        <w:t>les fonds de péréquation </w:t>
      </w:r>
      <w:r w:rsidR="00A37394" w:rsidRPr="00FE5EE8">
        <w:rPr>
          <w:rFonts w:ascii="Arial" w:hAnsi="Arial" w:cs="Arial"/>
          <w:color w:val="000000"/>
          <w:sz w:val="20"/>
          <w:szCs w:val="20"/>
        </w:rPr>
        <w:t xml:space="preserve">et les allocations compensatrices </w:t>
      </w:r>
      <w:r w:rsidRPr="00FE5EE8">
        <w:rPr>
          <w:rFonts w:ascii="Arial" w:hAnsi="Arial" w:cs="Arial"/>
          <w:color w:val="000000"/>
          <w:sz w:val="20"/>
          <w:szCs w:val="20"/>
        </w:rPr>
        <w:t>:</w:t>
      </w:r>
    </w:p>
    <w:tbl>
      <w:tblPr>
        <w:tblStyle w:val="Grilledutableau"/>
        <w:tblW w:w="0" w:type="auto"/>
        <w:tblLayout w:type="fixed"/>
        <w:tblLook w:val="04A0" w:firstRow="1" w:lastRow="0" w:firstColumn="1" w:lastColumn="0" w:noHBand="0" w:noVBand="1"/>
      </w:tblPr>
      <w:tblGrid>
        <w:gridCol w:w="1531"/>
        <w:gridCol w:w="964"/>
        <w:gridCol w:w="964"/>
        <w:gridCol w:w="964"/>
        <w:gridCol w:w="964"/>
        <w:gridCol w:w="964"/>
      </w:tblGrid>
      <w:tr w:rsidR="007C502B" w:rsidRPr="00FE5EE8" w14:paraId="68D4885E" w14:textId="77777777" w:rsidTr="00C8696D">
        <w:tc>
          <w:tcPr>
            <w:tcW w:w="1531" w:type="dxa"/>
            <w:tcBorders>
              <w:top w:val="nil"/>
              <w:left w:val="nil"/>
            </w:tcBorders>
          </w:tcPr>
          <w:p w14:paraId="5071B968" w14:textId="77777777" w:rsidR="007C502B" w:rsidRPr="00FE5EE8" w:rsidRDefault="007C502B" w:rsidP="00B71B1B">
            <w:pPr>
              <w:spacing w:before="60" w:after="60"/>
              <w:jc w:val="center"/>
              <w:outlineLvl w:val="1"/>
              <w:rPr>
                <w:rFonts w:ascii="Arial" w:eastAsia="Times New Roman" w:hAnsi="Arial" w:cs="Arial"/>
                <w:bCs/>
                <w:sz w:val="16"/>
                <w:szCs w:val="16"/>
                <w:lang w:eastAsia="fr-FR"/>
              </w:rPr>
            </w:pPr>
          </w:p>
        </w:tc>
        <w:tc>
          <w:tcPr>
            <w:tcW w:w="964" w:type="dxa"/>
          </w:tcPr>
          <w:p w14:paraId="35E2B482" w14:textId="77777777" w:rsidR="007C502B" w:rsidRPr="00FE5EE8" w:rsidRDefault="007C502B" w:rsidP="00B71B1B">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2017</w:t>
            </w:r>
          </w:p>
        </w:tc>
        <w:tc>
          <w:tcPr>
            <w:tcW w:w="964" w:type="dxa"/>
          </w:tcPr>
          <w:p w14:paraId="55339E04" w14:textId="77777777" w:rsidR="007C502B" w:rsidRPr="00FE5EE8" w:rsidRDefault="007C502B" w:rsidP="00B71B1B">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2018</w:t>
            </w:r>
          </w:p>
        </w:tc>
        <w:tc>
          <w:tcPr>
            <w:tcW w:w="964" w:type="dxa"/>
          </w:tcPr>
          <w:p w14:paraId="3841E189" w14:textId="77777777" w:rsidR="007C502B" w:rsidRPr="00FE5EE8" w:rsidRDefault="007C502B" w:rsidP="00B71B1B">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2019</w:t>
            </w:r>
          </w:p>
        </w:tc>
        <w:tc>
          <w:tcPr>
            <w:tcW w:w="964" w:type="dxa"/>
          </w:tcPr>
          <w:p w14:paraId="527615B1" w14:textId="77777777" w:rsidR="007C502B" w:rsidRPr="00FE5EE8" w:rsidRDefault="007C502B" w:rsidP="00B71B1B">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2020</w:t>
            </w:r>
          </w:p>
        </w:tc>
        <w:tc>
          <w:tcPr>
            <w:tcW w:w="964" w:type="dxa"/>
          </w:tcPr>
          <w:p w14:paraId="172B07BC" w14:textId="77777777" w:rsidR="007C502B" w:rsidRDefault="007C502B" w:rsidP="00B71B1B">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2021</w:t>
            </w:r>
          </w:p>
        </w:tc>
      </w:tr>
      <w:tr w:rsidR="007C502B" w:rsidRPr="00FE5EE8" w14:paraId="6A7FDA46" w14:textId="77777777" w:rsidTr="00C8696D">
        <w:tc>
          <w:tcPr>
            <w:tcW w:w="1531" w:type="dxa"/>
          </w:tcPr>
          <w:p w14:paraId="3C806C85" w14:textId="59E47BB7" w:rsidR="007C502B" w:rsidRPr="00FE5EE8" w:rsidRDefault="007C502B" w:rsidP="00B71B1B">
            <w:pPr>
              <w:spacing w:before="60" w:after="60"/>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 xml:space="preserve">Population totale </w:t>
            </w:r>
          </w:p>
        </w:tc>
        <w:tc>
          <w:tcPr>
            <w:tcW w:w="964" w:type="dxa"/>
          </w:tcPr>
          <w:p w14:paraId="25CFF326" w14:textId="77777777" w:rsidR="007C502B" w:rsidRPr="00FE5EE8" w:rsidRDefault="007C502B" w:rsidP="00523370">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26 980</w:t>
            </w:r>
          </w:p>
        </w:tc>
        <w:tc>
          <w:tcPr>
            <w:tcW w:w="964" w:type="dxa"/>
          </w:tcPr>
          <w:p w14:paraId="35AFC190" w14:textId="77777777" w:rsidR="007C502B" w:rsidRPr="00FE5EE8" w:rsidRDefault="007C502B" w:rsidP="00523370">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27 323</w:t>
            </w:r>
          </w:p>
        </w:tc>
        <w:tc>
          <w:tcPr>
            <w:tcW w:w="964" w:type="dxa"/>
          </w:tcPr>
          <w:p w14:paraId="32A1731A" w14:textId="77777777" w:rsidR="007C502B" w:rsidRPr="00FE5EE8" w:rsidRDefault="007C502B" w:rsidP="00523370">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27 556</w:t>
            </w:r>
          </w:p>
        </w:tc>
        <w:tc>
          <w:tcPr>
            <w:tcW w:w="964" w:type="dxa"/>
          </w:tcPr>
          <w:p w14:paraId="76C9725A" w14:textId="77777777" w:rsidR="007C502B" w:rsidRPr="00FE5EE8" w:rsidRDefault="007C502B" w:rsidP="00523370">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27 905</w:t>
            </w:r>
          </w:p>
        </w:tc>
        <w:tc>
          <w:tcPr>
            <w:tcW w:w="964" w:type="dxa"/>
          </w:tcPr>
          <w:p w14:paraId="2934D298" w14:textId="77777777" w:rsidR="007C502B" w:rsidRDefault="0011045B" w:rsidP="00523370">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28 342</w:t>
            </w:r>
          </w:p>
        </w:tc>
      </w:tr>
      <w:tr w:rsidR="007C502B" w:rsidRPr="00FE5EE8" w14:paraId="50C0C7DC" w14:textId="77777777" w:rsidTr="00C8696D">
        <w:tc>
          <w:tcPr>
            <w:tcW w:w="1531" w:type="dxa"/>
          </w:tcPr>
          <w:p w14:paraId="45E58D17" w14:textId="77777777" w:rsidR="007C502B" w:rsidRPr="00FE5EE8" w:rsidRDefault="007C502B" w:rsidP="00B71B1B">
            <w:pPr>
              <w:spacing w:before="60" w:after="60"/>
              <w:outlineLvl w:val="1"/>
              <w:rPr>
                <w:rFonts w:ascii="Arial" w:eastAsia="Times New Roman" w:hAnsi="Arial" w:cs="Arial"/>
                <w:bCs/>
                <w:sz w:val="16"/>
                <w:szCs w:val="16"/>
                <w:lang w:eastAsia="fr-FR"/>
              </w:rPr>
            </w:pPr>
            <w:proofErr w:type="spellStart"/>
            <w:r w:rsidRPr="00FE5EE8">
              <w:rPr>
                <w:rFonts w:ascii="Arial" w:eastAsia="Times New Roman" w:hAnsi="Arial" w:cs="Arial"/>
                <w:bCs/>
                <w:sz w:val="16"/>
                <w:szCs w:val="16"/>
                <w:lang w:eastAsia="fr-FR"/>
              </w:rPr>
              <w:t>Rés</w:t>
            </w:r>
            <w:proofErr w:type="spellEnd"/>
            <w:r w:rsidRPr="00FE5EE8">
              <w:rPr>
                <w:rFonts w:ascii="Arial" w:eastAsia="Times New Roman" w:hAnsi="Arial" w:cs="Arial"/>
                <w:bCs/>
                <w:sz w:val="16"/>
                <w:szCs w:val="16"/>
                <w:lang w:eastAsia="fr-FR"/>
              </w:rPr>
              <w:t xml:space="preserve">. </w:t>
            </w:r>
            <w:proofErr w:type="gramStart"/>
            <w:r w:rsidRPr="00FE5EE8">
              <w:rPr>
                <w:rFonts w:ascii="Arial" w:eastAsia="Times New Roman" w:hAnsi="Arial" w:cs="Arial"/>
                <w:bCs/>
                <w:sz w:val="16"/>
                <w:szCs w:val="16"/>
                <w:lang w:eastAsia="fr-FR"/>
              </w:rPr>
              <w:t>secondaires</w:t>
            </w:r>
            <w:proofErr w:type="gramEnd"/>
          </w:p>
        </w:tc>
        <w:tc>
          <w:tcPr>
            <w:tcW w:w="964" w:type="dxa"/>
          </w:tcPr>
          <w:p w14:paraId="12628725" w14:textId="77777777" w:rsidR="007C502B" w:rsidRPr="00FE5EE8" w:rsidRDefault="007C502B" w:rsidP="00523370">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83</w:t>
            </w:r>
          </w:p>
        </w:tc>
        <w:tc>
          <w:tcPr>
            <w:tcW w:w="964" w:type="dxa"/>
          </w:tcPr>
          <w:p w14:paraId="68E75D79" w14:textId="77777777" w:rsidR="007C502B" w:rsidRPr="00FE5EE8" w:rsidRDefault="007C502B" w:rsidP="00523370">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85</w:t>
            </w:r>
          </w:p>
        </w:tc>
        <w:tc>
          <w:tcPr>
            <w:tcW w:w="964" w:type="dxa"/>
          </w:tcPr>
          <w:p w14:paraId="0EF9CC4B" w14:textId="77777777" w:rsidR="007C502B" w:rsidRPr="00FE5EE8" w:rsidRDefault="007C502B" w:rsidP="00523370">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80</w:t>
            </w:r>
          </w:p>
        </w:tc>
        <w:tc>
          <w:tcPr>
            <w:tcW w:w="964" w:type="dxa"/>
          </w:tcPr>
          <w:p w14:paraId="201F0ADA" w14:textId="77777777" w:rsidR="007C502B" w:rsidRPr="00FE5EE8" w:rsidRDefault="007C502B" w:rsidP="00523370">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85</w:t>
            </w:r>
          </w:p>
        </w:tc>
        <w:tc>
          <w:tcPr>
            <w:tcW w:w="964" w:type="dxa"/>
          </w:tcPr>
          <w:p w14:paraId="61F00A1C" w14:textId="77777777" w:rsidR="007C502B" w:rsidRDefault="0011045B" w:rsidP="00523370">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110</w:t>
            </w:r>
          </w:p>
        </w:tc>
      </w:tr>
      <w:tr w:rsidR="007C502B" w:rsidRPr="00FE5EE8" w14:paraId="05A42538" w14:textId="77777777" w:rsidTr="00C8696D">
        <w:tc>
          <w:tcPr>
            <w:tcW w:w="1531" w:type="dxa"/>
            <w:tcBorders>
              <w:bottom w:val="single" w:sz="4" w:space="0" w:color="000000" w:themeColor="text1"/>
            </w:tcBorders>
          </w:tcPr>
          <w:p w14:paraId="0EC02E26" w14:textId="77777777" w:rsidR="007C502B" w:rsidRPr="00FE5EE8" w:rsidRDefault="007C502B" w:rsidP="00B71B1B">
            <w:pPr>
              <w:spacing w:before="60" w:after="60"/>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Population DGF</w:t>
            </w:r>
          </w:p>
        </w:tc>
        <w:tc>
          <w:tcPr>
            <w:tcW w:w="964" w:type="dxa"/>
            <w:tcBorders>
              <w:bottom w:val="single" w:sz="4" w:space="0" w:color="000000" w:themeColor="text1"/>
            </w:tcBorders>
          </w:tcPr>
          <w:p w14:paraId="7DB71881" w14:textId="77777777" w:rsidR="007C502B" w:rsidRPr="00FE5EE8" w:rsidRDefault="007C502B" w:rsidP="00523370">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27 063</w:t>
            </w:r>
          </w:p>
        </w:tc>
        <w:tc>
          <w:tcPr>
            <w:tcW w:w="964" w:type="dxa"/>
            <w:tcBorders>
              <w:bottom w:val="single" w:sz="4" w:space="0" w:color="000000" w:themeColor="text1"/>
            </w:tcBorders>
          </w:tcPr>
          <w:p w14:paraId="74340F9C" w14:textId="77777777" w:rsidR="007C502B" w:rsidRPr="00FE5EE8" w:rsidRDefault="007C502B" w:rsidP="00523370">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27 408</w:t>
            </w:r>
          </w:p>
        </w:tc>
        <w:tc>
          <w:tcPr>
            <w:tcW w:w="964" w:type="dxa"/>
            <w:tcBorders>
              <w:bottom w:val="single" w:sz="4" w:space="0" w:color="000000" w:themeColor="text1"/>
            </w:tcBorders>
          </w:tcPr>
          <w:p w14:paraId="0C47D287" w14:textId="77777777" w:rsidR="007C502B" w:rsidRPr="00FE5EE8" w:rsidRDefault="007C502B" w:rsidP="00523370">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27 636</w:t>
            </w:r>
          </w:p>
        </w:tc>
        <w:tc>
          <w:tcPr>
            <w:tcW w:w="964" w:type="dxa"/>
            <w:tcBorders>
              <w:bottom w:val="single" w:sz="4" w:space="0" w:color="000000" w:themeColor="text1"/>
            </w:tcBorders>
          </w:tcPr>
          <w:p w14:paraId="3A644C73" w14:textId="77777777" w:rsidR="007C502B" w:rsidRPr="00FE5EE8" w:rsidRDefault="007C502B" w:rsidP="00523370">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27 990</w:t>
            </w:r>
          </w:p>
        </w:tc>
        <w:tc>
          <w:tcPr>
            <w:tcW w:w="964" w:type="dxa"/>
            <w:tcBorders>
              <w:bottom w:val="single" w:sz="4" w:space="0" w:color="000000" w:themeColor="text1"/>
            </w:tcBorders>
          </w:tcPr>
          <w:p w14:paraId="34D5B597" w14:textId="77777777" w:rsidR="007C502B" w:rsidRDefault="0011045B" w:rsidP="00523370">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28 452</w:t>
            </w:r>
          </w:p>
        </w:tc>
      </w:tr>
    </w:tbl>
    <w:p w14:paraId="05349423" w14:textId="77777777" w:rsidR="00046D24" w:rsidRPr="00FE5EE8" w:rsidRDefault="00046D24" w:rsidP="00B71B1B">
      <w:pPr>
        <w:autoSpaceDE w:val="0"/>
        <w:autoSpaceDN w:val="0"/>
        <w:adjustRightInd w:val="0"/>
        <w:jc w:val="both"/>
        <w:rPr>
          <w:rFonts w:ascii="Arial" w:hAnsi="Arial" w:cs="Arial"/>
          <w:color w:val="000000"/>
          <w:sz w:val="20"/>
          <w:szCs w:val="20"/>
        </w:rPr>
      </w:pPr>
    </w:p>
    <w:tbl>
      <w:tblPr>
        <w:tblStyle w:val="Grilledutableau"/>
        <w:tblW w:w="0" w:type="auto"/>
        <w:tblLayout w:type="fixed"/>
        <w:tblLook w:val="04A0" w:firstRow="1" w:lastRow="0" w:firstColumn="1" w:lastColumn="0" w:noHBand="0" w:noVBand="1"/>
      </w:tblPr>
      <w:tblGrid>
        <w:gridCol w:w="1531"/>
        <w:gridCol w:w="964"/>
        <w:gridCol w:w="964"/>
        <w:gridCol w:w="964"/>
        <w:gridCol w:w="964"/>
        <w:gridCol w:w="964"/>
        <w:gridCol w:w="964"/>
        <w:gridCol w:w="964"/>
        <w:gridCol w:w="964"/>
      </w:tblGrid>
      <w:tr w:rsidR="007C502B" w:rsidRPr="00FE5EE8" w14:paraId="521CFF33" w14:textId="77777777" w:rsidTr="00C8696D">
        <w:tc>
          <w:tcPr>
            <w:tcW w:w="1531" w:type="dxa"/>
            <w:tcBorders>
              <w:top w:val="nil"/>
              <w:left w:val="nil"/>
              <w:bottom w:val="single" w:sz="4" w:space="0" w:color="000000" w:themeColor="text1"/>
            </w:tcBorders>
          </w:tcPr>
          <w:p w14:paraId="4D23BE6F" w14:textId="77777777" w:rsidR="007C502B" w:rsidRPr="00FE5EE8" w:rsidRDefault="007C502B" w:rsidP="00046D24">
            <w:pPr>
              <w:spacing w:before="60" w:after="60"/>
              <w:jc w:val="center"/>
              <w:outlineLvl w:val="1"/>
              <w:rPr>
                <w:rFonts w:ascii="Arial" w:eastAsia="Times New Roman" w:hAnsi="Arial" w:cs="Arial"/>
                <w:bCs/>
                <w:sz w:val="16"/>
                <w:szCs w:val="16"/>
                <w:lang w:eastAsia="fr-FR"/>
              </w:rPr>
            </w:pPr>
          </w:p>
        </w:tc>
        <w:tc>
          <w:tcPr>
            <w:tcW w:w="964" w:type="dxa"/>
            <w:tcBorders>
              <w:bottom w:val="single" w:sz="4" w:space="0" w:color="000000" w:themeColor="text1"/>
            </w:tcBorders>
          </w:tcPr>
          <w:p w14:paraId="6F4D793F" w14:textId="77777777" w:rsidR="007C502B" w:rsidRPr="00FE5EE8" w:rsidRDefault="007C502B" w:rsidP="00046D24">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2017</w:t>
            </w:r>
          </w:p>
        </w:tc>
        <w:tc>
          <w:tcPr>
            <w:tcW w:w="964" w:type="dxa"/>
            <w:tcBorders>
              <w:bottom w:val="single" w:sz="4" w:space="0" w:color="000000" w:themeColor="text1"/>
            </w:tcBorders>
          </w:tcPr>
          <w:p w14:paraId="0A314653" w14:textId="77777777" w:rsidR="007C502B" w:rsidRPr="00FE5EE8" w:rsidRDefault="007C502B" w:rsidP="00046D24">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2018</w:t>
            </w:r>
          </w:p>
        </w:tc>
        <w:tc>
          <w:tcPr>
            <w:tcW w:w="964" w:type="dxa"/>
            <w:tcBorders>
              <w:bottom w:val="single" w:sz="4" w:space="0" w:color="000000" w:themeColor="text1"/>
            </w:tcBorders>
          </w:tcPr>
          <w:p w14:paraId="1F6388F0" w14:textId="77777777" w:rsidR="007C502B" w:rsidRPr="00FE5EE8" w:rsidRDefault="007C502B" w:rsidP="00046D24">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2019</w:t>
            </w:r>
          </w:p>
        </w:tc>
        <w:tc>
          <w:tcPr>
            <w:tcW w:w="964" w:type="dxa"/>
            <w:tcBorders>
              <w:bottom w:val="single" w:sz="4" w:space="0" w:color="000000" w:themeColor="text1"/>
            </w:tcBorders>
          </w:tcPr>
          <w:p w14:paraId="48892E29" w14:textId="77777777" w:rsidR="007C502B" w:rsidRPr="00FE5EE8" w:rsidRDefault="007C502B" w:rsidP="00046D24">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2020</w:t>
            </w:r>
          </w:p>
        </w:tc>
        <w:tc>
          <w:tcPr>
            <w:tcW w:w="964" w:type="dxa"/>
            <w:tcBorders>
              <w:bottom w:val="single" w:sz="4" w:space="0" w:color="000000" w:themeColor="text1"/>
            </w:tcBorders>
          </w:tcPr>
          <w:p w14:paraId="51BCC5F7" w14:textId="77777777" w:rsidR="007C502B" w:rsidRPr="00FE5EE8" w:rsidRDefault="007C502B" w:rsidP="00046D24">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2021</w:t>
            </w:r>
          </w:p>
        </w:tc>
        <w:tc>
          <w:tcPr>
            <w:tcW w:w="964" w:type="dxa"/>
            <w:tcBorders>
              <w:bottom w:val="single" w:sz="4" w:space="0" w:color="000000" w:themeColor="text1"/>
            </w:tcBorders>
          </w:tcPr>
          <w:p w14:paraId="52038439" w14:textId="77777777" w:rsidR="007C502B" w:rsidRPr="00FE5EE8" w:rsidRDefault="007C502B" w:rsidP="00046D24">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2022</w:t>
            </w:r>
          </w:p>
        </w:tc>
        <w:tc>
          <w:tcPr>
            <w:tcW w:w="964" w:type="dxa"/>
            <w:tcBorders>
              <w:bottom w:val="single" w:sz="4" w:space="0" w:color="000000" w:themeColor="text1"/>
            </w:tcBorders>
          </w:tcPr>
          <w:p w14:paraId="6BF46355" w14:textId="77777777" w:rsidR="007C502B" w:rsidRPr="00FE5EE8" w:rsidRDefault="007C502B" w:rsidP="00046D24">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2023</w:t>
            </w:r>
          </w:p>
        </w:tc>
        <w:tc>
          <w:tcPr>
            <w:tcW w:w="964" w:type="dxa"/>
            <w:tcBorders>
              <w:bottom w:val="single" w:sz="4" w:space="0" w:color="000000" w:themeColor="text1"/>
            </w:tcBorders>
          </w:tcPr>
          <w:p w14:paraId="1993B1E9" w14:textId="77777777" w:rsidR="007C502B" w:rsidRDefault="007C502B" w:rsidP="00046D24">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2024</w:t>
            </w:r>
          </w:p>
        </w:tc>
      </w:tr>
      <w:tr w:rsidR="007C502B" w:rsidRPr="00FE5EE8" w14:paraId="4AD75559" w14:textId="77777777" w:rsidTr="00C8696D">
        <w:tc>
          <w:tcPr>
            <w:tcW w:w="1531" w:type="dxa"/>
            <w:tcBorders>
              <w:bottom w:val="nil"/>
            </w:tcBorders>
          </w:tcPr>
          <w:p w14:paraId="3D773346" w14:textId="77777777" w:rsidR="007C502B" w:rsidRPr="00FE5EE8" w:rsidRDefault="007C502B" w:rsidP="00046D24">
            <w:pPr>
              <w:spacing w:before="60" w:after="60"/>
              <w:ind w:right="-103"/>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 xml:space="preserve">Dotation forfaitaire </w:t>
            </w:r>
          </w:p>
        </w:tc>
        <w:tc>
          <w:tcPr>
            <w:tcW w:w="964" w:type="dxa"/>
            <w:tcBorders>
              <w:bottom w:val="nil"/>
            </w:tcBorders>
          </w:tcPr>
          <w:p w14:paraId="20F6E5EA"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3 801 299</w:t>
            </w:r>
          </w:p>
        </w:tc>
        <w:tc>
          <w:tcPr>
            <w:tcW w:w="964" w:type="dxa"/>
            <w:tcBorders>
              <w:bottom w:val="nil"/>
            </w:tcBorders>
          </w:tcPr>
          <w:p w14:paraId="3ADF018C"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3 766 144</w:t>
            </w:r>
          </w:p>
        </w:tc>
        <w:tc>
          <w:tcPr>
            <w:tcW w:w="964" w:type="dxa"/>
            <w:tcBorders>
              <w:bottom w:val="nil"/>
            </w:tcBorders>
          </w:tcPr>
          <w:p w14:paraId="184B32E6"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3 713 444</w:t>
            </w:r>
          </w:p>
        </w:tc>
        <w:tc>
          <w:tcPr>
            <w:tcW w:w="964" w:type="dxa"/>
            <w:tcBorders>
              <w:bottom w:val="nil"/>
            </w:tcBorders>
          </w:tcPr>
          <w:p w14:paraId="17EC6FA2" w14:textId="77777777" w:rsidR="007C502B" w:rsidRPr="00FE5EE8" w:rsidRDefault="007C502B" w:rsidP="00DD41B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3 692 056</w:t>
            </w:r>
          </w:p>
        </w:tc>
        <w:tc>
          <w:tcPr>
            <w:tcW w:w="964" w:type="dxa"/>
            <w:tcBorders>
              <w:bottom w:val="nil"/>
            </w:tcBorders>
          </w:tcPr>
          <w:p w14:paraId="648357AA" w14:textId="77777777" w:rsidR="007C502B" w:rsidRPr="00FE5EE8" w:rsidRDefault="0011045B" w:rsidP="009C2744">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3 683 185</w:t>
            </w:r>
          </w:p>
        </w:tc>
        <w:tc>
          <w:tcPr>
            <w:tcW w:w="964" w:type="dxa"/>
            <w:tcBorders>
              <w:bottom w:val="nil"/>
            </w:tcBorders>
          </w:tcPr>
          <w:p w14:paraId="1DC70F58" w14:textId="77777777" w:rsidR="007C502B" w:rsidRPr="00FE5EE8" w:rsidRDefault="007C502B" w:rsidP="009C2744">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3 6</w:t>
            </w:r>
            <w:r w:rsidR="0098116E">
              <w:rPr>
                <w:rFonts w:ascii="Arial" w:eastAsia="Times New Roman" w:hAnsi="Arial" w:cs="Arial"/>
                <w:bCs/>
                <w:sz w:val="16"/>
                <w:szCs w:val="16"/>
                <w:lang w:eastAsia="fr-FR"/>
              </w:rPr>
              <w:t>83</w:t>
            </w:r>
            <w:r w:rsidRPr="00FE5EE8">
              <w:rPr>
                <w:rFonts w:ascii="Arial" w:eastAsia="Times New Roman" w:hAnsi="Arial" w:cs="Arial"/>
                <w:bCs/>
                <w:sz w:val="16"/>
                <w:szCs w:val="16"/>
                <w:lang w:eastAsia="fr-FR"/>
              </w:rPr>
              <w:t xml:space="preserve"> 000</w:t>
            </w:r>
          </w:p>
        </w:tc>
        <w:tc>
          <w:tcPr>
            <w:tcW w:w="964" w:type="dxa"/>
            <w:tcBorders>
              <w:bottom w:val="nil"/>
            </w:tcBorders>
          </w:tcPr>
          <w:p w14:paraId="78A45CBC" w14:textId="77777777" w:rsidR="007C502B" w:rsidRPr="00FE5EE8" w:rsidRDefault="0098116E"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3 685</w:t>
            </w:r>
            <w:r w:rsidR="007C502B">
              <w:rPr>
                <w:rFonts w:ascii="Arial" w:eastAsia="Times New Roman" w:hAnsi="Arial" w:cs="Arial"/>
                <w:bCs/>
                <w:sz w:val="16"/>
                <w:szCs w:val="16"/>
                <w:lang w:eastAsia="fr-FR"/>
              </w:rPr>
              <w:t xml:space="preserve"> 000</w:t>
            </w:r>
          </w:p>
        </w:tc>
        <w:tc>
          <w:tcPr>
            <w:tcW w:w="964" w:type="dxa"/>
            <w:tcBorders>
              <w:bottom w:val="nil"/>
            </w:tcBorders>
          </w:tcPr>
          <w:p w14:paraId="54869A39" w14:textId="77777777" w:rsidR="007C502B" w:rsidRDefault="0098116E"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3 685 000</w:t>
            </w:r>
          </w:p>
        </w:tc>
      </w:tr>
      <w:tr w:rsidR="007C502B" w:rsidRPr="00FE5EE8" w14:paraId="7A09FE07" w14:textId="77777777" w:rsidTr="00C8696D">
        <w:tc>
          <w:tcPr>
            <w:tcW w:w="1531" w:type="dxa"/>
            <w:tcBorders>
              <w:top w:val="nil"/>
              <w:bottom w:val="nil"/>
            </w:tcBorders>
          </w:tcPr>
          <w:p w14:paraId="41F20C9A" w14:textId="77777777" w:rsidR="007C502B" w:rsidRPr="00FE5EE8" w:rsidRDefault="007C502B" w:rsidP="00046D24">
            <w:pPr>
              <w:spacing w:before="60" w:after="60"/>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 dont population</w:t>
            </w:r>
          </w:p>
        </w:tc>
        <w:tc>
          <w:tcPr>
            <w:tcW w:w="964" w:type="dxa"/>
            <w:tcBorders>
              <w:top w:val="nil"/>
              <w:bottom w:val="nil"/>
            </w:tcBorders>
          </w:tcPr>
          <w:p w14:paraId="7DDA3E8B"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17 615</w:t>
            </w:r>
          </w:p>
        </w:tc>
        <w:tc>
          <w:tcPr>
            <w:tcW w:w="964" w:type="dxa"/>
            <w:tcBorders>
              <w:top w:val="nil"/>
              <w:bottom w:val="nil"/>
            </w:tcBorders>
          </w:tcPr>
          <w:p w14:paraId="389E4917"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37 102</w:t>
            </w:r>
          </w:p>
        </w:tc>
        <w:tc>
          <w:tcPr>
            <w:tcW w:w="964" w:type="dxa"/>
            <w:tcBorders>
              <w:top w:val="nil"/>
              <w:bottom w:val="nil"/>
            </w:tcBorders>
          </w:tcPr>
          <w:p w14:paraId="2B66D518"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24 540</w:t>
            </w:r>
          </w:p>
        </w:tc>
        <w:tc>
          <w:tcPr>
            <w:tcW w:w="964" w:type="dxa"/>
            <w:tcBorders>
              <w:top w:val="nil"/>
              <w:bottom w:val="nil"/>
            </w:tcBorders>
          </w:tcPr>
          <w:p w14:paraId="2309B61D"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38 150</w:t>
            </w:r>
          </w:p>
        </w:tc>
        <w:tc>
          <w:tcPr>
            <w:tcW w:w="964" w:type="dxa"/>
            <w:tcBorders>
              <w:top w:val="nil"/>
              <w:bottom w:val="nil"/>
            </w:tcBorders>
          </w:tcPr>
          <w:p w14:paraId="469C3972" w14:textId="77777777" w:rsidR="007C502B" w:rsidRPr="00FE5EE8" w:rsidRDefault="0011045B"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49 870</w:t>
            </w:r>
          </w:p>
        </w:tc>
        <w:tc>
          <w:tcPr>
            <w:tcW w:w="964" w:type="dxa"/>
            <w:tcBorders>
              <w:top w:val="nil"/>
              <w:bottom w:val="nil"/>
            </w:tcBorders>
          </w:tcPr>
          <w:p w14:paraId="7254AC1E"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p>
        </w:tc>
        <w:tc>
          <w:tcPr>
            <w:tcW w:w="964" w:type="dxa"/>
            <w:tcBorders>
              <w:top w:val="nil"/>
              <w:bottom w:val="nil"/>
            </w:tcBorders>
          </w:tcPr>
          <w:p w14:paraId="355BF5B5"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p>
        </w:tc>
        <w:tc>
          <w:tcPr>
            <w:tcW w:w="964" w:type="dxa"/>
            <w:tcBorders>
              <w:top w:val="nil"/>
              <w:bottom w:val="nil"/>
            </w:tcBorders>
          </w:tcPr>
          <w:p w14:paraId="23EDEF81"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p>
        </w:tc>
      </w:tr>
      <w:tr w:rsidR="007C502B" w:rsidRPr="00FE5EE8" w14:paraId="7BD46315" w14:textId="77777777" w:rsidTr="00C8696D">
        <w:tc>
          <w:tcPr>
            <w:tcW w:w="1531" w:type="dxa"/>
            <w:tcBorders>
              <w:top w:val="nil"/>
              <w:bottom w:val="nil"/>
            </w:tcBorders>
          </w:tcPr>
          <w:p w14:paraId="6C634E66" w14:textId="77777777" w:rsidR="007C502B" w:rsidRPr="00FE5EE8" w:rsidRDefault="007C502B" w:rsidP="009027C1">
            <w:pPr>
              <w:spacing w:before="60" w:after="60"/>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 dont écrêtement</w:t>
            </w:r>
          </w:p>
        </w:tc>
        <w:tc>
          <w:tcPr>
            <w:tcW w:w="964" w:type="dxa"/>
            <w:tcBorders>
              <w:top w:val="nil"/>
              <w:bottom w:val="nil"/>
            </w:tcBorders>
          </w:tcPr>
          <w:p w14:paraId="38C382A3"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- 110 316</w:t>
            </w:r>
          </w:p>
        </w:tc>
        <w:tc>
          <w:tcPr>
            <w:tcW w:w="964" w:type="dxa"/>
            <w:tcBorders>
              <w:top w:val="nil"/>
              <w:bottom w:val="nil"/>
            </w:tcBorders>
          </w:tcPr>
          <w:p w14:paraId="3F776A20"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- 72 257</w:t>
            </w:r>
          </w:p>
        </w:tc>
        <w:tc>
          <w:tcPr>
            <w:tcW w:w="964" w:type="dxa"/>
            <w:tcBorders>
              <w:top w:val="nil"/>
              <w:bottom w:val="nil"/>
            </w:tcBorders>
          </w:tcPr>
          <w:p w14:paraId="632F2F54"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- 77 240</w:t>
            </w:r>
          </w:p>
        </w:tc>
        <w:tc>
          <w:tcPr>
            <w:tcW w:w="964" w:type="dxa"/>
            <w:tcBorders>
              <w:top w:val="nil"/>
              <w:bottom w:val="nil"/>
            </w:tcBorders>
          </w:tcPr>
          <w:p w14:paraId="2437A453"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- 59 538</w:t>
            </w:r>
          </w:p>
        </w:tc>
        <w:tc>
          <w:tcPr>
            <w:tcW w:w="964" w:type="dxa"/>
            <w:tcBorders>
              <w:top w:val="nil"/>
              <w:bottom w:val="nil"/>
            </w:tcBorders>
          </w:tcPr>
          <w:p w14:paraId="05A7D2D5" w14:textId="77777777" w:rsidR="007C502B" w:rsidRPr="00FE5EE8" w:rsidRDefault="0011045B"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-58 741</w:t>
            </w:r>
          </w:p>
        </w:tc>
        <w:tc>
          <w:tcPr>
            <w:tcW w:w="964" w:type="dxa"/>
            <w:tcBorders>
              <w:top w:val="nil"/>
              <w:bottom w:val="nil"/>
            </w:tcBorders>
          </w:tcPr>
          <w:p w14:paraId="124FDE38"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p>
        </w:tc>
        <w:tc>
          <w:tcPr>
            <w:tcW w:w="964" w:type="dxa"/>
            <w:tcBorders>
              <w:top w:val="nil"/>
              <w:bottom w:val="nil"/>
            </w:tcBorders>
          </w:tcPr>
          <w:p w14:paraId="1D0CBD99"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p>
        </w:tc>
        <w:tc>
          <w:tcPr>
            <w:tcW w:w="964" w:type="dxa"/>
            <w:tcBorders>
              <w:top w:val="nil"/>
              <w:bottom w:val="nil"/>
            </w:tcBorders>
          </w:tcPr>
          <w:p w14:paraId="0CD2535A"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p>
        </w:tc>
      </w:tr>
      <w:tr w:rsidR="007C502B" w:rsidRPr="00FE5EE8" w14:paraId="5CDAFDA8" w14:textId="77777777" w:rsidTr="00C8696D">
        <w:tc>
          <w:tcPr>
            <w:tcW w:w="1531" w:type="dxa"/>
            <w:tcBorders>
              <w:top w:val="nil"/>
              <w:bottom w:val="single" w:sz="4" w:space="0" w:color="000000" w:themeColor="text1"/>
            </w:tcBorders>
          </w:tcPr>
          <w:p w14:paraId="1DEA1019" w14:textId="77777777" w:rsidR="007C502B" w:rsidRPr="00FE5EE8" w:rsidRDefault="007C502B" w:rsidP="00046D24">
            <w:pPr>
              <w:spacing w:before="60" w:after="60"/>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 dont CRFP*</w:t>
            </w:r>
          </w:p>
        </w:tc>
        <w:tc>
          <w:tcPr>
            <w:tcW w:w="964" w:type="dxa"/>
            <w:tcBorders>
              <w:top w:val="nil"/>
              <w:bottom w:val="single" w:sz="4" w:space="0" w:color="000000" w:themeColor="text1"/>
            </w:tcBorders>
          </w:tcPr>
          <w:p w14:paraId="37783F1D"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- 344 960</w:t>
            </w:r>
          </w:p>
        </w:tc>
        <w:tc>
          <w:tcPr>
            <w:tcW w:w="964" w:type="dxa"/>
            <w:tcBorders>
              <w:top w:val="nil"/>
              <w:bottom w:val="single" w:sz="4" w:space="0" w:color="000000" w:themeColor="text1"/>
            </w:tcBorders>
          </w:tcPr>
          <w:p w14:paraId="1B19FF93"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0</w:t>
            </w:r>
          </w:p>
        </w:tc>
        <w:tc>
          <w:tcPr>
            <w:tcW w:w="964" w:type="dxa"/>
            <w:tcBorders>
              <w:top w:val="nil"/>
              <w:bottom w:val="single" w:sz="4" w:space="0" w:color="000000" w:themeColor="text1"/>
            </w:tcBorders>
          </w:tcPr>
          <w:p w14:paraId="4F6E5B2E"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0</w:t>
            </w:r>
          </w:p>
        </w:tc>
        <w:tc>
          <w:tcPr>
            <w:tcW w:w="964" w:type="dxa"/>
            <w:tcBorders>
              <w:top w:val="nil"/>
              <w:bottom w:val="single" w:sz="4" w:space="0" w:color="000000" w:themeColor="text1"/>
            </w:tcBorders>
          </w:tcPr>
          <w:p w14:paraId="57ACD711"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p>
        </w:tc>
        <w:tc>
          <w:tcPr>
            <w:tcW w:w="964" w:type="dxa"/>
            <w:tcBorders>
              <w:top w:val="nil"/>
              <w:bottom w:val="single" w:sz="4" w:space="0" w:color="000000" w:themeColor="text1"/>
            </w:tcBorders>
          </w:tcPr>
          <w:p w14:paraId="1CC37B79"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p>
        </w:tc>
        <w:tc>
          <w:tcPr>
            <w:tcW w:w="964" w:type="dxa"/>
            <w:tcBorders>
              <w:top w:val="nil"/>
              <w:bottom w:val="single" w:sz="4" w:space="0" w:color="000000" w:themeColor="text1"/>
            </w:tcBorders>
          </w:tcPr>
          <w:p w14:paraId="126491B3"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p>
        </w:tc>
        <w:tc>
          <w:tcPr>
            <w:tcW w:w="964" w:type="dxa"/>
            <w:tcBorders>
              <w:top w:val="nil"/>
              <w:bottom w:val="single" w:sz="4" w:space="0" w:color="000000" w:themeColor="text1"/>
            </w:tcBorders>
          </w:tcPr>
          <w:p w14:paraId="3736311B"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p>
        </w:tc>
        <w:tc>
          <w:tcPr>
            <w:tcW w:w="964" w:type="dxa"/>
            <w:tcBorders>
              <w:top w:val="nil"/>
              <w:bottom w:val="single" w:sz="4" w:space="0" w:color="000000" w:themeColor="text1"/>
            </w:tcBorders>
          </w:tcPr>
          <w:p w14:paraId="3506B1AD"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p>
        </w:tc>
      </w:tr>
      <w:tr w:rsidR="007C502B" w:rsidRPr="00FE5EE8" w14:paraId="2045F970" w14:textId="77777777" w:rsidTr="00C8696D">
        <w:tc>
          <w:tcPr>
            <w:tcW w:w="1531" w:type="dxa"/>
            <w:tcBorders>
              <w:bottom w:val="nil"/>
            </w:tcBorders>
          </w:tcPr>
          <w:p w14:paraId="5841FEA1" w14:textId="77777777" w:rsidR="007C502B" w:rsidRPr="00FE5EE8" w:rsidRDefault="007C502B" w:rsidP="00046D24">
            <w:pPr>
              <w:spacing w:before="60" w:after="60"/>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 xml:space="preserve">DSU </w:t>
            </w:r>
          </w:p>
        </w:tc>
        <w:tc>
          <w:tcPr>
            <w:tcW w:w="964" w:type="dxa"/>
            <w:tcBorders>
              <w:bottom w:val="nil"/>
            </w:tcBorders>
          </w:tcPr>
          <w:p w14:paraId="76D25634" w14:textId="77777777" w:rsidR="007C502B" w:rsidRPr="00FE5EE8" w:rsidRDefault="007C502B" w:rsidP="00055D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322 083</w:t>
            </w:r>
          </w:p>
        </w:tc>
        <w:tc>
          <w:tcPr>
            <w:tcW w:w="964" w:type="dxa"/>
            <w:tcBorders>
              <w:bottom w:val="nil"/>
            </w:tcBorders>
          </w:tcPr>
          <w:p w14:paraId="7E42026C"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348 902</w:t>
            </w:r>
          </w:p>
        </w:tc>
        <w:tc>
          <w:tcPr>
            <w:tcW w:w="964" w:type="dxa"/>
            <w:tcBorders>
              <w:bottom w:val="nil"/>
            </w:tcBorders>
          </w:tcPr>
          <w:p w14:paraId="4563DB0D"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375 340</w:t>
            </w:r>
          </w:p>
        </w:tc>
        <w:tc>
          <w:tcPr>
            <w:tcW w:w="964" w:type="dxa"/>
            <w:tcBorders>
              <w:bottom w:val="nil"/>
            </w:tcBorders>
          </w:tcPr>
          <w:p w14:paraId="22D75844"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407 760</w:t>
            </w:r>
          </w:p>
        </w:tc>
        <w:tc>
          <w:tcPr>
            <w:tcW w:w="964" w:type="dxa"/>
            <w:tcBorders>
              <w:bottom w:val="nil"/>
            </w:tcBorders>
          </w:tcPr>
          <w:p w14:paraId="3A61FAAD" w14:textId="77777777" w:rsidR="007C502B" w:rsidRPr="00FE5EE8" w:rsidRDefault="0011045B"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437 090</w:t>
            </w:r>
          </w:p>
        </w:tc>
        <w:tc>
          <w:tcPr>
            <w:tcW w:w="964" w:type="dxa"/>
            <w:tcBorders>
              <w:bottom w:val="nil"/>
            </w:tcBorders>
          </w:tcPr>
          <w:p w14:paraId="5BDA8DBF" w14:textId="77777777" w:rsidR="007C502B" w:rsidRPr="00FE5EE8" w:rsidRDefault="0098116E"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437</w:t>
            </w:r>
            <w:r w:rsidR="007C502B" w:rsidRPr="00FE5EE8">
              <w:rPr>
                <w:rFonts w:ascii="Arial" w:eastAsia="Times New Roman" w:hAnsi="Arial" w:cs="Arial"/>
                <w:bCs/>
                <w:sz w:val="16"/>
                <w:szCs w:val="16"/>
                <w:lang w:eastAsia="fr-FR"/>
              </w:rPr>
              <w:t xml:space="preserve"> 000</w:t>
            </w:r>
          </w:p>
        </w:tc>
        <w:tc>
          <w:tcPr>
            <w:tcW w:w="964" w:type="dxa"/>
            <w:tcBorders>
              <w:bottom w:val="nil"/>
            </w:tcBorders>
          </w:tcPr>
          <w:p w14:paraId="6A7CBC7D" w14:textId="77777777" w:rsidR="007C502B" w:rsidRPr="00FE5EE8" w:rsidRDefault="0098116E"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44</w:t>
            </w:r>
            <w:r w:rsidR="007C502B">
              <w:rPr>
                <w:rFonts w:ascii="Arial" w:eastAsia="Times New Roman" w:hAnsi="Arial" w:cs="Arial"/>
                <w:bCs/>
                <w:sz w:val="16"/>
                <w:szCs w:val="16"/>
                <w:lang w:eastAsia="fr-FR"/>
              </w:rPr>
              <w:t>0 000</w:t>
            </w:r>
          </w:p>
        </w:tc>
        <w:tc>
          <w:tcPr>
            <w:tcW w:w="964" w:type="dxa"/>
            <w:tcBorders>
              <w:bottom w:val="nil"/>
            </w:tcBorders>
          </w:tcPr>
          <w:p w14:paraId="4E57FB06" w14:textId="77777777" w:rsidR="007C502B" w:rsidRDefault="000F2DC9"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45</w:t>
            </w:r>
            <w:r w:rsidR="0098116E">
              <w:rPr>
                <w:rFonts w:ascii="Arial" w:eastAsia="Times New Roman" w:hAnsi="Arial" w:cs="Arial"/>
                <w:bCs/>
                <w:sz w:val="16"/>
                <w:szCs w:val="16"/>
                <w:lang w:eastAsia="fr-FR"/>
              </w:rPr>
              <w:t>0 000</w:t>
            </w:r>
          </w:p>
        </w:tc>
      </w:tr>
      <w:tr w:rsidR="007C502B" w:rsidRPr="00FE5EE8" w14:paraId="420D66BE" w14:textId="77777777" w:rsidTr="00C8696D">
        <w:tc>
          <w:tcPr>
            <w:tcW w:w="1531" w:type="dxa"/>
            <w:tcBorders>
              <w:top w:val="nil"/>
            </w:tcBorders>
          </w:tcPr>
          <w:p w14:paraId="377EF283" w14:textId="77777777" w:rsidR="007C502B" w:rsidRPr="00FE5EE8" w:rsidRDefault="007C502B" w:rsidP="00046D24">
            <w:pPr>
              <w:spacing w:before="60" w:after="60"/>
              <w:outlineLvl w:val="1"/>
              <w:rPr>
                <w:rFonts w:ascii="Arial" w:eastAsia="Times New Roman" w:hAnsi="Arial" w:cs="Arial"/>
                <w:bCs/>
                <w:sz w:val="16"/>
                <w:szCs w:val="16"/>
                <w:lang w:eastAsia="fr-FR"/>
              </w:rPr>
            </w:pPr>
            <w:proofErr w:type="gramStart"/>
            <w:r w:rsidRPr="00FE5EE8">
              <w:rPr>
                <w:rFonts w:ascii="Arial" w:eastAsia="Times New Roman" w:hAnsi="Arial" w:cs="Arial"/>
                <w:bCs/>
                <w:sz w:val="16"/>
                <w:szCs w:val="16"/>
                <w:lang w:eastAsia="fr-FR"/>
              </w:rPr>
              <w:t>rang</w:t>
            </w:r>
            <w:proofErr w:type="gramEnd"/>
          </w:p>
        </w:tc>
        <w:tc>
          <w:tcPr>
            <w:tcW w:w="964" w:type="dxa"/>
            <w:tcBorders>
              <w:top w:val="nil"/>
            </w:tcBorders>
          </w:tcPr>
          <w:p w14:paraId="1C2A679B"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563</w:t>
            </w:r>
          </w:p>
        </w:tc>
        <w:tc>
          <w:tcPr>
            <w:tcW w:w="964" w:type="dxa"/>
            <w:tcBorders>
              <w:top w:val="nil"/>
            </w:tcBorders>
          </w:tcPr>
          <w:p w14:paraId="21D55AE2"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528</w:t>
            </w:r>
          </w:p>
        </w:tc>
        <w:tc>
          <w:tcPr>
            <w:tcW w:w="964" w:type="dxa"/>
            <w:tcBorders>
              <w:top w:val="nil"/>
            </w:tcBorders>
          </w:tcPr>
          <w:p w14:paraId="110C6513"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504</w:t>
            </w:r>
          </w:p>
        </w:tc>
        <w:tc>
          <w:tcPr>
            <w:tcW w:w="964" w:type="dxa"/>
            <w:tcBorders>
              <w:top w:val="nil"/>
            </w:tcBorders>
          </w:tcPr>
          <w:p w14:paraId="238E3CA2"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470</w:t>
            </w:r>
          </w:p>
        </w:tc>
        <w:tc>
          <w:tcPr>
            <w:tcW w:w="964" w:type="dxa"/>
            <w:tcBorders>
              <w:top w:val="nil"/>
            </w:tcBorders>
          </w:tcPr>
          <w:p w14:paraId="22B8C535" w14:textId="77777777" w:rsidR="007C502B" w:rsidRPr="00FE5EE8" w:rsidRDefault="0011045B"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461</w:t>
            </w:r>
          </w:p>
        </w:tc>
        <w:tc>
          <w:tcPr>
            <w:tcW w:w="964" w:type="dxa"/>
            <w:tcBorders>
              <w:top w:val="nil"/>
            </w:tcBorders>
          </w:tcPr>
          <w:p w14:paraId="25723821"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p>
        </w:tc>
        <w:tc>
          <w:tcPr>
            <w:tcW w:w="964" w:type="dxa"/>
            <w:tcBorders>
              <w:top w:val="nil"/>
            </w:tcBorders>
          </w:tcPr>
          <w:p w14:paraId="29E01478"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p>
        </w:tc>
        <w:tc>
          <w:tcPr>
            <w:tcW w:w="964" w:type="dxa"/>
            <w:tcBorders>
              <w:top w:val="nil"/>
            </w:tcBorders>
          </w:tcPr>
          <w:p w14:paraId="147E0834"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p>
        </w:tc>
      </w:tr>
      <w:tr w:rsidR="007C502B" w:rsidRPr="00FE5EE8" w14:paraId="1BDFAB60" w14:textId="77777777" w:rsidTr="00C8696D">
        <w:tc>
          <w:tcPr>
            <w:tcW w:w="1531" w:type="dxa"/>
          </w:tcPr>
          <w:p w14:paraId="172B552D" w14:textId="77777777" w:rsidR="007C502B" w:rsidRPr="00FE5EE8" w:rsidRDefault="007C502B" w:rsidP="00046D24">
            <w:pPr>
              <w:spacing w:before="60" w:after="60"/>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DNP</w:t>
            </w:r>
          </w:p>
        </w:tc>
        <w:tc>
          <w:tcPr>
            <w:tcW w:w="964" w:type="dxa"/>
          </w:tcPr>
          <w:p w14:paraId="746F6421" w14:textId="77777777" w:rsidR="007C502B" w:rsidRPr="00FE5EE8" w:rsidRDefault="007C502B" w:rsidP="00004D8C">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28 853</w:t>
            </w:r>
          </w:p>
        </w:tc>
        <w:tc>
          <w:tcPr>
            <w:tcW w:w="964" w:type="dxa"/>
          </w:tcPr>
          <w:p w14:paraId="70613C73"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33 677</w:t>
            </w:r>
          </w:p>
        </w:tc>
        <w:tc>
          <w:tcPr>
            <w:tcW w:w="964" w:type="dxa"/>
          </w:tcPr>
          <w:p w14:paraId="5D58E85C"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40 412</w:t>
            </w:r>
          </w:p>
        </w:tc>
        <w:tc>
          <w:tcPr>
            <w:tcW w:w="964" w:type="dxa"/>
          </w:tcPr>
          <w:p w14:paraId="36D6F082"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48 494</w:t>
            </w:r>
          </w:p>
        </w:tc>
        <w:tc>
          <w:tcPr>
            <w:tcW w:w="964" w:type="dxa"/>
          </w:tcPr>
          <w:p w14:paraId="6ED571F5" w14:textId="77777777" w:rsidR="007C502B" w:rsidRPr="00FE5EE8" w:rsidRDefault="0011045B"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58 193</w:t>
            </w:r>
          </w:p>
        </w:tc>
        <w:tc>
          <w:tcPr>
            <w:tcW w:w="964" w:type="dxa"/>
          </w:tcPr>
          <w:p w14:paraId="0D81AFD4" w14:textId="77777777" w:rsidR="007C502B" w:rsidRPr="00FE5EE8" w:rsidRDefault="0098116E"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w:t>
            </w:r>
            <w:r w:rsidR="007C502B">
              <w:rPr>
                <w:rFonts w:ascii="Arial" w:eastAsia="Times New Roman" w:hAnsi="Arial" w:cs="Arial"/>
                <w:bCs/>
                <w:sz w:val="16"/>
                <w:szCs w:val="16"/>
                <w:lang w:eastAsia="fr-FR"/>
              </w:rPr>
              <w:t>8</w:t>
            </w:r>
            <w:r w:rsidR="007C502B" w:rsidRPr="00FE5EE8">
              <w:rPr>
                <w:rFonts w:ascii="Arial" w:eastAsia="Times New Roman" w:hAnsi="Arial" w:cs="Arial"/>
                <w:bCs/>
                <w:sz w:val="16"/>
                <w:szCs w:val="16"/>
                <w:lang w:eastAsia="fr-FR"/>
              </w:rPr>
              <w:t xml:space="preserve"> 000</w:t>
            </w:r>
          </w:p>
        </w:tc>
        <w:tc>
          <w:tcPr>
            <w:tcW w:w="964" w:type="dxa"/>
          </w:tcPr>
          <w:p w14:paraId="43431A2D" w14:textId="77777777" w:rsidR="007C502B" w:rsidRPr="00FE5EE8" w:rsidRDefault="0098116E"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60</w:t>
            </w:r>
            <w:r w:rsidR="007C502B">
              <w:rPr>
                <w:rFonts w:ascii="Arial" w:eastAsia="Times New Roman" w:hAnsi="Arial" w:cs="Arial"/>
                <w:bCs/>
                <w:sz w:val="16"/>
                <w:szCs w:val="16"/>
                <w:lang w:eastAsia="fr-FR"/>
              </w:rPr>
              <w:t xml:space="preserve"> 000</w:t>
            </w:r>
          </w:p>
        </w:tc>
        <w:tc>
          <w:tcPr>
            <w:tcW w:w="964" w:type="dxa"/>
          </w:tcPr>
          <w:p w14:paraId="0050191A" w14:textId="77777777" w:rsidR="007C502B" w:rsidRDefault="0098116E"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60 000</w:t>
            </w:r>
          </w:p>
        </w:tc>
      </w:tr>
      <w:tr w:rsidR="007C502B" w:rsidRPr="00FE5EE8" w14:paraId="7182D887" w14:textId="77777777" w:rsidTr="00C8696D">
        <w:tc>
          <w:tcPr>
            <w:tcW w:w="1531" w:type="dxa"/>
          </w:tcPr>
          <w:p w14:paraId="6EBE4CCD" w14:textId="77777777" w:rsidR="007C502B" w:rsidRPr="00FE5EE8" w:rsidRDefault="007C502B" w:rsidP="00046D24">
            <w:pPr>
              <w:spacing w:before="60" w:after="60"/>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 DGF</w:t>
            </w:r>
          </w:p>
        </w:tc>
        <w:tc>
          <w:tcPr>
            <w:tcW w:w="964" w:type="dxa"/>
          </w:tcPr>
          <w:p w14:paraId="15955547"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4 152 235</w:t>
            </w:r>
          </w:p>
        </w:tc>
        <w:tc>
          <w:tcPr>
            <w:tcW w:w="964" w:type="dxa"/>
          </w:tcPr>
          <w:p w14:paraId="1CF54190"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4 148 723</w:t>
            </w:r>
          </w:p>
        </w:tc>
        <w:tc>
          <w:tcPr>
            <w:tcW w:w="964" w:type="dxa"/>
          </w:tcPr>
          <w:p w14:paraId="07E0F0B5"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4 129 196</w:t>
            </w:r>
          </w:p>
        </w:tc>
        <w:tc>
          <w:tcPr>
            <w:tcW w:w="964" w:type="dxa"/>
          </w:tcPr>
          <w:p w14:paraId="5B7EF67E" w14:textId="77777777" w:rsidR="007C502B" w:rsidRPr="00FE5EE8" w:rsidRDefault="007C502B" w:rsidP="009C2744">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4</w:t>
            </w:r>
            <w:r w:rsidR="0011045B">
              <w:rPr>
                <w:rFonts w:ascii="Arial" w:eastAsia="Times New Roman" w:hAnsi="Arial" w:cs="Arial"/>
                <w:bCs/>
                <w:sz w:val="16"/>
                <w:szCs w:val="16"/>
                <w:lang w:eastAsia="fr-FR"/>
              </w:rPr>
              <w:t> </w:t>
            </w:r>
            <w:r>
              <w:rPr>
                <w:rFonts w:ascii="Arial" w:eastAsia="Times New Roman" w:hAnsi="Arial" w:cs="Arial"/>
                <w:bCs/>
                <w:sz w:val="16"/>
                <w:szCs w:val="16"/>
                <w:lang w:eastAsia="fr-FR"/>
              </w:rPr>
              <w:t>148</w:t>
            </w:r>
            <w:r w:rsidR="0011045B">
              <w:rPr>
                <w:rFonts w:ascii="Arial" w:eastAsia="Times New Roman" w:hAnsi="Arial" w:cs="Arial"/>
                <w:bCs/>
                <w:sz w:val="16"/>
                <w:szCs w:val="16"/>
                <w:lang w:eastAsia="fr-FR"/>
              </w:rPr>
              <w:t xml:space="preserve"> </w:t>
            </w:r>
            <w:r>
              <w:rPr>
                <w:rFonts w:ascii="Arial" w:eastAsia="Times New Roman" w:hAnsi="Arial" w:cs="Arial"/>
                <w:bCs/>
                <w:sz w:val="16"/>
                <w:szCs w:val="16"/>
                <w:lang w:eastAsia="fr-FR"/>
              </w:rPr>
              <w:t>310</w:t>
            </w:r>
          </w:p>
        </w:tc>
        <w:tc>
          <w:tcPr>
            <w:tcW w:w="964" w:type="dxa"/>
          </w:tcPr>
          <w:p w14:paraId="30C31618" w14:textId="77777777" w:rsidR="007C502B" w:rsidRPr="00FE5EE8" w:rsidRDefault="0011045B" w:rsidP="009C2744">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4 178 468</w:t>
            </w:r>
          </w:p>
        </w:tc>
        <w:tc>
          <w:tcPr>
            <w:tcW w:w="964" w:type="dxa"/>
          </w:tcPr>
          <w:p w14:paraId="473353C9" w14:textId="77777777" w:rsidR="007C502B" w:rsidRPr="00FE5EE8" w:rsidRDefault="007C502B" w:rsidP="0098116E">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4 1</w:t>
            </w:r>
            <w:r w:rsidR="0098116E">
              <w:rPr>
                <w:rFonts w:ascii="Arial" w:eastAsia="Times New Roman" w:hAnsi="Arial" w:cs="Arial"/>
                <w:bCs/>
                <w:sz w:val="16"/>
                <w:szCs w:val="16"/>
                <w:lang w:eastAsia="fr-FR"/>
              </w:rPr>
              <w:t>78</w:t>
            </w:r>
            <w:r w:rsidRPr="00FE5EE8">
              <w:rPr>
                <w:rFonts w:ascii="Arial" w:eastAsia="Times New Roman" w:hAnsi="Arial" w:cs="Arial"/>
                <w:bCs/>
                <w:sz w:val="16"/>
                <w:szCs w:val="16"/>
                <w:lang w:eastAsia="fr-FR"/>
              </w:rPr>
              <w:t xml:space="preserve"> 000</w:t>
            </w:r>
          </w:p>
        </w:tc>
        <w:tc>
          <w:tcPr>
            <w:tcW w:w="964" w:type="dxa"/>
          </w:tcPr>
          <w:p w14:paraId="17222149" w14:textId="77777777" w:rsidR="007C502B" w:rsidRPr="00FE5EE8" w:rsidRDefault="007C502B" w:rsidP="0098116E">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4 1</w:t>
            </w:r>
            <w:r w:rsidR="0098116E">
              <w:rPr>
                <w:rFonts w:ascii="Arial" w:eastAsia="Times New Roman" w:hAnsi="Arial" w:cs="Arial"/>
                <w:bCs/>
                <w:sz w:val="16"/>
                <w:szCs w:val="16"/>
                <w:lang w:eastAsia="fr-FR"/>
              </w:rPr>
              <w:t>85</w:t>
            </w:r>
            <w:r>
              <w:rPr>
                <w:rFonts w:ascii="Arial" w:eastAsia="Times New Roman" w:hAnsi="Arial" w:cs="Arial"/>
                <w:bCs/>
                <w:sz w:val="16"/>
                <w:szCs w:val="16"/>
                <w:lang w:eastAsia="fr-FR"/>
              </w:rPr>
              <w:t xml:space="preserve"> 000</w:t>
            </w:r>
          </w:p>
        </w:tc>
        <w:tc>
          <w:tcPr>
            <w:tcW w:w="964" w:type="dxa"/>
          </w:tcPr>
          <w:p w14:paraId="1363AA24" w14:textId="77777777" w:rsidR="007C502B" w:rsidRDefault="0098116E" w:rsidP="00C77985">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4 195 000</w:t>
            </w:r>
          </w:p>
        </w:tc>
      </w:tr>
      <w:tr w:rsidR="007C502B" w:rsidRPr="00FE5EE8" w14:paraId="5D091B94" w14:textId="77777777" w:rsidTr="00C8696D">
        <w:tc>
          <w:tcPr>
            <w:tcW w:w="1531" w:type="dxa"/>
            <w:tcBorders>
              <w:bottom w:val="nil"/>
            </w:tcBorders>
          </w:tcPr>
          <w:p w14:paraId="43B9AEC0" w14:textId="77777777" w:rsidR="007C502B" w:rsidRPr="00FE5EE8" w:rsidRDefault="007C502B" w:rsidP="00046D24">
            <w:pPr>
              <w:spacing w:before="60" w:after="60"/>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FSRIF</w:t>
            </w:r>
            <w:r>
              <w:rPr>
                <w:rFonts w:ascii="Arial" w:eastAsia="Times New Roman" w:hAnsi="Arial" w:cs="Arial"/>
                <w:bCs/>
                <w:sz w:val="16"/>
                <w:szCs w:val="16"/>
                <w:lang w:eastAsia="fr-FR"/>
              </w:rPr>
              <w:t xml:space="preserve"> (</w:t>
            </w:r>
            <w:proofErr w:type="spellStart"/>
            <w:r>
              <w:rPr>
                <w:rFonts w:ascii="Arial" w:eastAsia="Times New Roman" w:hAnsi="Arial" w:cs="Arial"/>
                <w:bCs/>
                <w:sz w:val="16"/>
                <w:szCs w:val="16"/>
                <w:lang w:eastAsia="fr-FR"/>
              </w:rPr>
              <w:t>bénéfic</w:t>
            </w:r>
            <w:proofErr w:type="spellEnd"/>
            <w:r>
              <w:rPr>
                <w:rFonts w:ascii="Arial" w:eastAsia="Times New Roman" w:hAnsi="Arial" w:cs="Arial"/>
                <w:bCs/>
                <w:sz w:val="16"/>
                <w:szCs w:val="16"/>
                <w:lang w:eastAsia="fr-FR"/>
              </w:rPr>
              <w:t>.)</w:t>
            </w:r>
          </w:p>
        </w:tc>
        <w:tc>
          <w:tcPr>
            <w:tcW w:w="964" w:type="dxa"/>
            <w:tcBorders>
              <w:bottom w:val="nil"/>
            </w:tcBorders>
          </w:tcPr>
          <w:p w14:paraId="4571D165"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700 301</w:t>
            </w:r>
          </w:p>
        </w:tc>
        <w:tc>
          <w:tcPr>
            <w:tcW w:w="964" w:type="dxa"/>
            <w:tcBorders>
              <w:bottom w:val="nil"/>
            </w:tcBorders>
          </w:tcPr>
          <w:p w14:paraId="3A7ADAC5"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870 443</w:t>
            </w:r>
          </w:p>
        </w:tc>
        <w:tc>
          <w:tcPr>
            <w:tcW w:w="964" w:type="dxa"/>
            <w:tcBorders>
              <w:bottom w:val="nil"/>
            </w:tcBorders>
          </w:tcPr>
          <w:p w14:paraId="1627918F"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862 118</w:t>
            </w:r>
          </w:p>
        </w:tc>
        <w:tc>
          <w:tcPr>
            <w:tcW w:w="964" w:type="dxa"/>
            <w:tcBorders>
              <w:bottom w:val="nil"/>
            </w:tcBorders>
          </w:tcPr>
          <w:p w14:paraId="0707D433"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1 118 171</w:t>
            </w:r>
          </w:p>
        </w:tc>
        <w:tc>
          <w:tcPr>
            <w:tcW w:w="964" w:type="dxa"/>
            <w:tcBorders>
              <w:bottom w:val="nil"/>
            </w:tcBorders>
          </w:tcPr>
          <w:p w14:paraId="52645350" w14:textId="77777777" w:rsidR="007C502B" w:rsidRPr="00FE5EE8" w:rsidRDefault="0011045B"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1 255 135</w:t>
            </w:r>
          </w:p>
        </w:tc>
        <w:tc>
          <w:tcPr>
            <w:tcW w:w="964" w:type="dxa"/>
            <w:tcBorders>
              <w:bottom w:val="nil"/>
            </w:tcBorders>
          </w:tcPr>
          <w:p w14:paraId="6DDCF309" w14:textId="77777777" w:rsidR="007C502B" w:rsidRPr="00FE5EE8" w:rsidRDefault="0098116E"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1 1</w:t>
            </w:r>
            <w:r w:rsidR="007C502B">
              <w:rPr>
                <w:rFonts w:ascii="Arial" w:eastAsia="Times New Roman" w:hAnsi="Arial" w:cs="Arial"/>
                <w:bCs/>
                <w:sz w:val="16"/>
                <w:szCs w:val="16"/>
                <w:lang w:eastAsia="fr-FR"/>
              </w:rPr>
              <w:t>0</w:t>
            </w:r>
            <w:r w:rsidR="007C502B" w:rsidRPr="00FE5EE8">
              <w:rPr>
                <w:rFonts w:ascii="Arial" w:eastAsia="Times New Roman" w:hAnsi="Arial" w:cs="Arial"/>
                <w:bCs/>
                <w:sz w:val="16"/>
                <w:szCs w:val="16"/>
                <w:lang w:eastAsia="fr-FR"/>
              </w:rPr>
              <w:t>0 000</w:t>
            </w:r>
          </w:p>
        </w:tc>
        <w:tc>
          <w:tcPr>
            <w:tcW w:w="964" w:type="dxa"/>
            <w:tcBorders>
              <w:bottom w:val="nil"/>
            </w:tcBorders>
          </w:tcPr>
          <w:p w14:paraId="50648B57" w14:textId="77777777" w:rsidR="007C502B" w:rsidRPr="00FE5EE8" w:rsidRDefault="0098116E"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1 1</w:t>
            </w:r>
            <w:r w:rsidR="007C502B">
              <w:rPr>
                <w:rFonts w:ascii="Arial" w:eastAsia="Times New Roman" w:hAnsi="Arial" w:cs="Arial"/>
                <w:bCs/>
                <w:sz w:val="16"/>
                <w:szCs w:val="16"/>
                <w:lang w:eastAsia="fr-FR"/>
              </w:rPr>
              <w:t>00 000</w:t>
            </w:r>
          </w:p>
        </w:tc>
        <w:tc>
          <w:tcPr>
            <w:tcW w:w="964" w:type="dxa"/>
            <w:tcBorders>
              <w:bottom w:val="nil"/>
            </w:tcBorders>
          </w:tcPr>
          <w:p w14:paraId="3C42782D" w14:textId="77777777" w:rsidR="007C502B" w:rsidRDefault="0098116E"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1 100 000</w:t>
            </w:r>
          </w:p>
        </w:tc>
      </w:tr>
      <w:tr w:rsidR="007C502B" w:rsidRPr="00FE5EE8" w14:paraId="0E7D01D7" w14:textId="77777777" w:rsidTr="00C8696D">
        <w:tc>
          <w:tcPr>
            <w:tcW w:w="1531" w:type="dxa"/>
            <w:tcBorders>
              <w:top w:val="nil"/>
            </w:tcBorders>
          </w:tcPr>
          <w:p w14:paraId="4173F6AD" w14:textId="77777777" w:rsidR="007C502B" w:rsidRPr="00FE5EE8" w:rsidRDefault="007C502B" w:rsidP="00046D24">
            <w:pPr>
              <w:spacing w:before="60" w:after="60"/>
              <w:outlineLvl w:val="1"/>
              <w:rPr>
                <w:rFonts w:ascii="Arial" w:eastAsia="Times New Roman" w:hAnsi="Arial" w:cs="Arial"/>
                <w:bCs/>
                <w:sz w:val="16"/>
                <w:szCs w:val="16"/>
                <w:lang w:eastAsia="fr-FR"/>
              </w:rPr>
            </w:pPr>
            <w:proofErr w:type="gramStart"/>
            <w:r w:rsidRPr="00FE5EE8">
              <w:rPr>
                <w:rFonts w:ascii="Arial" w:eastAsia="Times New Roman" w:hAnsi="Arial" w:cs="Arial"/>
                <w:bCs/>
                <w:sz w:val="16"/>
                <w:szCs w:val="16"/>
                <w:lang w:eastAsia="fr-FR"/>
              </w:rPr>
              <w:t>rang</w:t>
            </w:r>
            <w:proofErr w:type="gramEnd"/>
          </w:p>
        </w:tc>
        <w:tc>
          <w:tcPr>
            <w:tcW w:w="964" w:type="dxa"/>
            <w:tcBorders>
              <w:top w:val="nil"/>
            </w:tcBorders>
          </w:tcPr>
          <w:p w14:paraId="18CB12A2" w14:textId="77777777" w:rsidR="007C502B" w:rsidRPr="00FE5EE8" w:rsidRDefault="007C502B" w:rsidP="009027C1">
            <w:pPr>
              <w:spacing w:before="60" w:after="60"/>
              <w:jc w:val="right"/>
              <w:outlineLvl w:val="1"/>
              <w:rPr>
                <w:rFonts w:ascii="Arial" w:eastAsia="Times New Roman" w:hAnsi="Arial" w:cs="Arial"/>
                <w:bCs/>
                <w:color w:val="FF0000"/>
                <w:sz w:val="16"/>
                <w:szCs w:val="16"/>
                <w:lang w:eastAsia="fr-FR"/>
              </w:rPr>
            </w:pPr>
          </w:p>
        </w:tc>
        <w:tc>
          <w:tcPr>
            <w:tcW w:w="964" w:type="dxa"/>
            <w:tcBorders>
              <w:top w:val="nil"/>
            </w:tcBorders>
          </w:tcPr>
          <w:p w14:paraId="419684C7"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139</w:t>
            </w:r>
          </w:p>
        </w:tc>
        <w:tc>
          <w:tcPr>
            <w:tcW w:w="964" w:type="dxa"/>
            <w:tcBorders>
              <w:top w:val="nil"/>
            </w:tcBorders>
          </w:tcPr>
          <w:p w14:paraId="46709B69" w14:textId="77777777" w:rsidR="007C502B" w:rsidRPr="009C2744" w:rsidRDefault="007C502B" w:rsidP="009027C1">
            <w:pPr>
              <w:spacing w:before="60" w:after="60"/>
              <w:jc w:val="right"/>
              <w:outlineLvl w:val="1"/>
              <w:rPr>
                <w:rFonts w:ascii="Arial" w:eastAsia="Times New Roman" w:hAnsi="Arial" w:cs="Arial"/>
                <w:bCs/>
                <w:sz w:val="16"/>
                <w:szCs w:val="16"/>
                <w:lang w:eastAsia="fr-FR"/>
              </w:rPr>
            </w:pPr>
            <w:r w:rsidRPr="009C2744">
              <w:rPr>
                <w:rFonts w:ascii="Arial" w:eastAsia="Times New Roman" w:hAnsi="Arial" w:cs="Arial"/>
                <w:bCs/>
                <w:sz w:val="16"/>
                <w:szCs w:val="16"/>
                <w:lang w:eastAsia="fr-FR"/>
              </w:rPr>
              <w:t>140</w:t>
            </w:r>
          </w:p>
        </w:tc>
        <w:tc>
          <w:tcPr>
            <w:tcW w:w="964" w:type="dxa"/>
            <w:tcBorders>
              <w:top w:val="nil"/>
            </w:tcBorders>
          </w:tcPr>
          <w:p w14:paraId="6906F22B"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127</w:t>
            </w:r>
          </w:p>
        </w:tc>
        <w:tc>
          <w:tcPr>
            <w:tcW w:w="964" w:type="dxa"/>
            <w:tcBorders>
              <w:top w:val="nil"/>
            </w:tcBorders>
          </w:tcPr>
          <w:p w14:paraId="4A855275" w14:textId="77777777" w:rsidR="007C502B" w:rsidRPr="00FE5EE8" w:rsidRDefault="0011045B"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118</w:t>
            </w:r>
          </w:p>
        </w:tc>
        <w:tc>
          <w:tcPr>
            <w:tcW w:w="964" w:type="dxa"/>
            <w:tcBorders>
              <w:top w:val="nil"/>
            </w:tcBorders>
          </w:tcPr>
          <w:p w14:paraId="77B92F7D"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p>
        </w:tc>
        <w:tc>
          <w:tcPr>
            <w:tcW w:w="964" w:type="dxa"/>
            <w:tcBorders>
              <w:top w:val="nil"/>
            </w:tcBorders>
          </w:tcPr>
          <w:p w14:paraId="165FB836"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p>
        </w:tc>
        <w:tc>
          <w:tcPr>
            <w:tcW w:w="964" w:type="dxa"/>
            <w:tcBorders>
              <w:top w:val="nil"/>
            </w:tcBorders>
          </w:tcPr>
          <w:p w14:paraId="712AB55F"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p>
        </w:tc>
      </w:tr>
      <w:tr w:rsidR="007C502B" w:rsidRPr="00FE5EE8" w14:paraId="46223B60" w14:textId="77777777" w:rsidTr="00C8696D">
        <w:tc>
          <w:tcPr>
            <w:tcW w:w="1531" w:type="dxa"/>
            <w:tcBorders>
              <w:bottom w:val="single" w:sz="4" w:space="0" w:color="000000" w:themeColor="text1"/>
            </w:tcBorders>
          </w:tcPr>
          <w:p w14:paraId="6CBC4030" w14:textId="77777777" w:rsidR="007C502B" w:rsidRPr="00FE5EE8" w:rsidRDefault="007C502B" w:rsidP="00046D24">
            <w:pPr>
              <w:spacing w:before="60" w:after="60"/>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 xml:space="preserve">Alloc. </w:t>
            </w:r>
            <w:proofErr w:type="spellStart"/>
            <w:proofErr w:type="gramStart"/>
            <w:r w:rsidRPr="00FE5EE8">
              <w:rPr>
                <w:rFonts w:ascii="Arial" w:eastAsia="Times New Roman" w:hAnsi="Arial" w:cs="Arial"/>
                <w:bCs/>
                <w:sz w:val="16"/>
                <w:szCs w:val="16"/>
                <w:lang w:eastAsia="fr-FR"/>
              </w:rPr>
              <w:t>compens</w:t>
            </w:r>
            <w:proofErr w:type="spellEnd"/>
            <w:proofErr w:type="gramEnd"/>
            <w:r w:rsidRPr="00FE5EE8">
              <w:rPr>
                <w:rFonts w:ascii="Arial" w:eastAsia="Times New Roman" w:hAnsi="Arial" w:cs="Arial"/>
                <w:bCs/>
                <w:sz w:val="16"/>
                <w:szCs w:val="16"/>
                <w:lang w:eastAsia="fr-FR"/>
              </w:rPr>
              <w:t>.</w:t>
            </w:r>
          </w:p>
          <w:p w14:paraId="0CF75C4A" w14:textId="77777777" w:rsidR="007C502B" w:rsidRPr="00FE5EE8" w:rsidRDefault="007C502B" w:rsidP="00046D24">
            <w:pPr>
              <w:spacing w:before="60" w:after="60"/>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TH</w:t>
            </w:r>
          </w:p>
          <w:p w14:paraId="089C3743" w14:textId="77777777" w:rsidR="007C502B" w:rsidRPr="00FE5EE8" w:rsidRDefault="007C502B" w:rsidP="00046D24">
            <w:pPr>
              <w:spacing w:before="60" w:after="60"/>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TFB et TFNB</w:t>
            </w:r>
          </w:p>
          <w:p w14:paraId="6C00B78A" w14:textId="77777777" w:rsidR="007C502B" w:rsidRPr="00FE5EE8" w:rsidRDefault="007C502B" w:rsidP="00046D24">
            <w:pPr>
              <w:spacing w:before="60" w:after="60"/>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TP</w:t>
            </w:r>
          </w:p>
        </w:tc>
        <w:tc>
          <w:tcPr>
            <w:tcW w:w="964" w:type="dxa"/>
            <w:tcBorders>
              <w:bottom w:val="single" w:sz="4" w:space="0" w:color="000000" w:themeColor="text1"/>
            </w:tcBorders>
          </w:tcPr>
          <w:p w14:paraId="728E1DCB"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p>
          <w:p w14:paraId="5119EDE8"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367 104</w:t>
            </w:r>
          </w:p>
          <w:p w14:paraId="6AC8AC2E"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39 029</w:t>
            </w:r>
          </w:p>
          <w:p w14:paraId="2F8244D1"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24 187</w:t>
            </w:r>
          </w:p>
        </w:tc>
        <w:tc>
          <w:tcPr>
            <w:tcW w:w="964" w:type="dxa"/>
            <w:tcBorders>
              <w:bottom w:val="single" w:sz="4" w:space="0" w:color="000000" w:themeColor="text1"/>
            </w:tcBorders>
          </w:tcPr>
          <w:p w14:paraId="3396D32E"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p>
          <w:p w14:paraId="3C30499A"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395 760</w:t>
            </w:r>
          </w:p>
          <w:p w14:paraId="23847423"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41 860</w:t>
            </w:r>
          </w:p>
          <w:p w14:paraId="2B68185D"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0</w:t>
            </w:r>
          </w:p>
        </w:tc>
        <w:tc>
          <w:tcPr>
            <w:tcW w:w="964" w:type="dxa"/>
            <w:tcBorders>
              <w:bottom w:val="single" w:sz="4" w:space="0" w:color="000000" w:themeColor="text1"/>
            </w:tcBorders>
          </w:tcPr>
          <w:p w14:paraId="537B83B9"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p>
          <w:p w14:paraId="4479252D"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549 476</w:t>
            </w:r>
          </w:p>
          <w:p w14:paraId="7694086F"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52 581</w:t>
            </w:r>
          </w:p>
          <w:p w14:paraId="28148968"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0</w:t>
            </w:r>
          </w:p>
        </w:tc>
        <w:tc>
          <w:tcPr>
            <w:tcW w:w="964" w:type="dxa"/>
            <w:tcBorders>
              <w:bottom w:val="single" w:sz="4" w:space="0" w:color="000000" w:themeColor="text1"/>
            </w:tcBorders>
          </w:tcPr>
          <w:p w14:paraId="36E810A8" w14:textId="77777777" w:rsidR="007C502B" w:rsidRPr="00FE5EE8" w:rsidRDefault="007C502B" w:rsidP="009027C1">
            <w:pPr>
              <w:spacing w:before="60" w:after="60"/>
              <w:jc w:val="right"/>
              <w:outlineLvl w:val="1"/>
              <w:rPr>
                <w:rFonts w:ascii="Arial" w:eastAsia="Times New Roman" w:hAnsi="Arial" w:cs="Arial"/>
                <w:bCs/>
                <w:color w:val="FF0000"/>
                <w:sz w:val="16"/>
                <w:szCs w:val="16"/>
                <w:lang w:eastAsia="fr-FR"/>
              </w:rPr>
            </w:pPr>
          </w:p>
          <w:p w14:paraId="7FD3C782"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590 758</w:t>
            </w:r>
          </w:p>
          <w:p w14:paraId="7A99B531"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53 763</w:t>
            </w:r>
          </w:p>
          <w:p w14:paraId="75C91973" w14:textId="77777777" w:rsidR="007C502B" w:rsidRPr="00FE5EE8" w:rsidRDefault="007C502B" w:rsidP="009027C1">
            <w:pPr>
              <w:spacing w:before="60" w:after="60"/>
              <w:jc w:val="right"/>
              <w:outlineLvl w:val="1"/>
              <w:rPr>
                <w:rFonts w:ascii="Arial" w:eastAsia="Times New Roman" w:hAnsi="Arial" w:cs="Arial"/>
                <w:bCs/>
                <w:color w:val="FF0000"/>
                <w:sz w:val="16"/>
                <w:szCs w:val="16"/>
                <w:lang w:eastAsia="fr-FR"/>
              </w:rPr>
            </w:pPr>
            <w:r w:rsidRPr="00FE5EE8">
              <w:rPr>
                <w:rFonts w:ascii="Arial" w:eastAsia="Times New Roman" w:hAnsi="Arial" w:cs="Arial"/>
                <w:bCs/>
                <w:sz w:val="16"/>
                <w:szCs w:val="16"/>
                <w:lang w:eastAsia="fr-FR"/>
              </w:rPr>
              <w:t>0</w:t>
            </w:r>
          </w:p>
        </w:tc>
        <w:tc>
          <w:tcPr>
            <w:tcW w:w="964" w:type="dxa"/>
            <w:tcBorders>
              <w:bottom w:val="single" w:sz="4" w:space="0" w:color="000000" w:themeColor="text1"/>
            </w:tcBorders>
          </w:tcPr>
          <w:p w14:paraId="3EE24C56" w14:textId="77777777" w:rsidR="007C502B" w:rsidRDefault="007C502B" w:rsidP="009027C1">
            <w:pPr>
              <w:spacing w:before="60" w:after="60"/>
              <w:jc w:val="right"/>
              <w:outlineLvl w:val="1"/>
              <w:rPr>
                <w:rFonts w:ascii="Arial" w:eastAsia="Times New Roman" w:hAnsi="Arial" w:cs="Arial"/>
                <w:bCs/>
                <w:sz w:val="16"/>
                <w:szCs w:val="16"/>
                <w:lang w:eastAsia="fr-FR"/>
              </w:rPr>
            </w:pPr>
          </w:p>
          <w:p w14:paraId="0A9746F4" w14:textId="77777777" w:rsidR="007C502B" w:rsidRDefault="007C502B" w:rsidP="009027C1">
            <w:pPr>
              <w:spacing w:before="60" w:after="60"/>
              <w:jc w:val="right"/>
              <w:outlineLvl w:val="1"/>
              <w:rPr>
                <w:rFonts w:ascii="Arial" w:eastAsia="Times New Roman" w:hAnsi="Arial" w:cs="Arial"/>
                <w:bCs/>
                <w:sz w:val="16"/>
                <w:szCs w:val="16"/>
                <w:lang w:eastAsia="fr-FR"/>
              </w:rPr>
            </w:pPr>
          </w:p>
          <w:p w14:paraId="6889AB98" w14:textId="77777777" w:rsidR="007C502B" w:rsidRDefault="0098116E"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68 374</w:t>
            </w:r>
          </w:p>
          <w:p w14:paraId="0488E5D3"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0</w:t>
            </w:r>
          </w:p>
        </w:tc>
        <w:tc>
          <w:tcPr>
            <w:tcW w:w="964" w:type="dxa"/>
            <w:tcBorders>
              <w:bottom w:val="single" w:sz="4" w:space="0" w:color="000000" w:themeColor="text1"/>
            </w:tcBorders>
          </w:tcPr>
          <w:p w14:paraId="12E58FF2" w14:textId="77777777" w:rsidR="007C502B" w:rsidRDefault="007C502B" w:rsidP="009027C1">
            <w:pPr>
              <w:spacing w:before="60" w:after="60"/>
              <w:jc w:val="right"/>
              <w:outlineLvl w:val="1"/>
              <w:rPr>
                <w:rFonts w:ascii="Arial" w:eastAsia="Times New Roman" w:hAnsi="Arial" w:cs="Arial"/>
                <w:bCs/>
                <w:sz w:val="16"/>
                <w:szCs w:val="16"/>
                <w:lang w:eastAsia="fr-FR"/>
              </w:rPr>
            </w:pPr>
          </w:p>
          <w:p w14:paraId="0BCFE48D" w14:textId="77777777" w:rsidR="007C502B" w:rsidRDefault="007C502B" w:rsidP="009027C1">
            <w:pPr>
              <w:spacing w:before="60" w:after="60"/>
              <w:jc w:val="right"/>
              <w:outlineLvl w:val="1"/>
              <w:rPr>
                <w:rFonts w:ascii="Arial" w:eastAsia="Times New Roman" w:hAnsi="Arial" w:cs="Arial"/>
                <w:bCs/>
                <w:sz w:val="16"/>
                <w:szCs w:val="16"/>
                <w:lang w:eastAsia="fr-FR"/>
              </w:rPr>
            </w:pPr>
          </w:p>
          <w:p w14:paraId="417F9A16" w14:textId="77777777" w:rsidR="007C502B" w:rsidRDefault="0098116E"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70</w:t>
            </w:r>
            <w:r w:rsidR="007C502B">
              <w:rPr>
                <w:rFonts w:ascii="Arial" w:eastAsia="Times New Roman" w:hAnsi="Arial" w:cs="Arial"/>
                <w:bCs/>
                <w:sz w:val="16"/>
                <w:szCs w:val="16"/>
                <w:lang w:eastAsia="fr-FR"/>
              </w:rPr>
              <w:t> 000</w:t>
            </w:r>
          </w:p>
          <w:p w14:paraId="574725EB"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0</w:t>
            </w:r>
          </w:p>
        </w:tc>
        <w:tc>
          <w:tcPr>
            <w:tcW w:w="964" w:type="dxa"/>
            <w:tcBorders>
              <w:bottom w:val="single" w:sz="4" w:space="0" w:color="000000" w:themeColor="text1"/>
            </w:tcBorders>
          </w:tcPr>
          <w:p w14:paraId="5F867FBC" w14:textId="77777777" w:rsidR="007C502B" w:rsidRDefault="007C502B" w:rsidP="009027C1">
            <w:pPr>
              <w:spacing w:before="60" w:after="60"/>
              <w:jc w:val="right"/>
              <w:outlineLvl w:val="1"/>
              <w:rPr>
                <w:rFonts w:ascii="Arial" w:eastAsia="Times New Roman" w:hAnsi="Arial" w:cs="Arial"/>
                <w:bCs/>
                <w:sz w:val="16"/>
                <w:szCs w:val="16"/>
                <w:lang w:eastAsia="fr-FR"/>
              </w:rPr>
            </w:pPr>
          </w:p>
          <w:p w14:paraId="45DF478F" w14:textId="77777777" w:rsidR="007C502B" w:rsidRDefault="007C502B" w:rsidP="009027C1">
            <w:pPr>
              <w:spacing w:before="60" w:after="60"/>
              <w:jc w:val="right"/>
              <w:outlineLvl w:val="1"/>
              <w:rPr>
                <w:rFonts w:ascii="Arial" w:eastAsia="Times New Roman" w:hAnsi="Arial" w:cs="Arial"/>
                <w:bCs/>
                <w:sz w:val="16"/>
                <w:szCs w:val="16"/>
                <w:lang w:eastAsia="fr-FR"/>
              </w:rPr>
            </w:pPr>
          </w:p>
          <w:p w14:paraId="21C900E2" w14:textId="77777777" w:rsidR="007C502B" w:rsidRDefault="0098116E"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70</w:t>
            </w:r>
            <w:r w:rsidR="007C502B">
              <w:rPr>
                <w:rFonts w:ascii="Arial" w:eastAsia="Times New Roman" w:hAnsi="Arial" w:cs="Arial"/>
                <w:bCs/>
                <w:sz w:val="16"/>
                <w:szCs w:val="16"/>
                <w:lang w:eastAsia="fr-FR"/>
              </w:rPr>
              <w:t> 000</w:t>
            </w:r>
          </w:p>
          <w:p w14:paraId="37339FF7"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0</w:t>
            </w:r>
          </w:p>
        </w:tc>
        <w:tc>
          <w:tcPr>
            <w:tcW w:w="964" w:type="dxa"/>
            <w:tcBorders>
              <w:bottom w:val="single" w:sz="4" w:space="0" w:color="000000" w:themeColor="text1"/>
            </w:tcBorders>
          </w:tcPr>
          <w:p w14:paraId="528C939B" w14:textId="77777777" w:rsidR="007C502B" w:rsidRDefault="007C502B" w:rsidP="009027C1">
            <w:pPr>
              <w:spacing w:before="60" w:after="60"/>
              <w:jc w:val="right"/>
              <w:outlineLvl w:val="1"/>
              <w:rPr>
                <w:rFonts w:ascii="Arial" w:eastAsia="Times New Roman" w:hAnsi="Arial" w:cs="Arial"/>
                <w:bCs/>
                <w:sz w:val="16"/>
                <w:szCs w:val="16"/>
                <w:lang w:eastAsia="fr-FR"/>
              </w:rPr>
            </w:pPr>
          </w:p>
          <w:p w14:paraId="76078915" w14:textId="77777777" w:rsidR="0098116E" w:rsidRDefault="0098116E" w:rsidP="009027C1">
            <w:pPr>
              <w:spacing w:before="60" w:after="60"/>
              <w:jc w:val="right"/>
              <w:outlineLvl w:val="1"/>
              <w:rPr>
                <w:rFonts w:ascii="Arial" w:eastAsia="Times New Roman" w:hAnsi="Arial" w:cs="Arial"/>
                <w:bCs/>
                <w:sz w:val="16"/>
                <w:szCs w:val="16"/>
                <w:lang w:eastAsia="fr-FR"/>
              </w:rPr>
            </w:pPr>
          </w:p>
          <w:p w14:paraId="1A22DA6D" w14:textId="77777777" w:rsidR="0098116E" w:rsidRDefault="0098116E"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70 000</w:t>
            </w:r>
          </w:p>
        </w:tc>
      </w:tr>
      <w:tr w:rsidR="007C502B" w:rsidRPr="00FE5EE8" w14:paraId="711A8143" w14:textId="77777777" w:rsidTr="00C8696D">
        <w:tc>
          <w:tcPr>
            <w:tcW w:w="1531" w:type="dxa"/>
            <w:tcBorders>
              <w:left w:val="nil"/>
              <w:right w:val="nil"/>
            </w:tcBorders>
          </w:tcPr>
          <w:p w14:paraId="2A4C990F" w14:textId="77777777" w:rsidR="007C502B" w:rsidRPr="00FE5EE8" w:rsidRDefault="007C502B" w:rsidP="00046D24">
            <w:pPr>
              <w:spacing w:before="60" w:after="60"/>
              <w:outlineLvl w:val="1"/>
              <w:rPr>
                <w:rFonts w:ascii="Arial" w:eastAsia="Times New Roman" w:hAnsi="Arial" w:cs="Arial"/>
                <w:bCs/>
                <w:sz w:val="16"/>
                <w:szCs w:val="16"/>
                <w:lang w:eastAsia="fr-FR"/>
              </w:rPr>
            </w:pPr>
          </w:p>
        </w:tc>
        <w:tc>
          <w:tcPr>
            <w:tcW w:w="964" w:type="dxa"/>
            <w:tcBorders>
              <w:left w:val="nil"/>
              <w:right w:val="nil"/>
            </w:tcBorders>
          </w:tcPr>
          <w:p w14:paraId="57989D5A"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p>
        </w:tc>
        <w:tc>
          <w:tcPr>
            <w:tcW w:w="964" w:type="dxa"/>
            <w:tcBorders>
              <w:left w:val="nil"/>
              <w:right w:val="nil"/>
            </w:tcBorders>
          </w:tcPr>
          <w:p w14:paraId="14D97BC9"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p>
        </w:tc>
        <w:tc>
          <w:tcPr>
            <w:tcW w:w="964" w:type="dxa"/>
            <w:tcBorders>
              <w:left w:val="nil"/>
              <w:right w:val="nil"/>
            </w:tcBorders>
          </w:tcPr>
          <w:p w14:paraId="766E8BAF"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p>
        </w:tc>
        <w:tc>
          <w:tcPr>
            <w:tcW w:w="964" w:type="dxa"/>
            <w:tcBorders>
              <w:left w:val="nil"/>
              <w:right w:val="nil"/>
            </w:tcBorders>
          </w:tcPr>
          <w:p w14:paraId="09F1A539"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p>
        </w:tc>
        <w:tc>
          <w:tcPr>
            <w:tcW w:w="964" w:type="dxa"/>
            <w:tcBorders>
              <w:left w:val="nil"/>
              <w:right w:val="nil"/>
            </w:tcBorders>
          </w:tcPr>
          <w:p w14:paraId="165C3DDF"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p>
        </w:tc>
        <w:tc>
          <w:tcPr>
            <w:tcW w:w="964" w:type="dxa"/>
            <w:tcBorders>
              <w:left w:val="nil"/>
              <w:right w:val="nil"/>
            </w:tcBorders>
          </w:tcPr>
          <w:p w14:paraId="6BBE5665"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p>
        </w:tc>
        <w:tc>
          <w:tcPr>
            <w:tcW w:w="964" w:type="dxa"/>
            <w:tcBorders>
              <w:left w:val="nil"/>
              <w:right w:val="nil"/>
            </w:tcBorders>
          </w:tcPr>
          <w:p w14:paraId="00055E5A"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p>
        </w:tc>
        <w:tc>
          <w:tcPr>
            <w:tcW w:w="964" w:type="dxa"/>
            <w:tcBorders>
              <w:left w:val="nil"/>
              <w:right w:val="nil"/>
            </w:tcBorders>
          </w:tcPr>
          <w:p w14:paraId="69014755"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p>
        </w:tc>
      </w:tr>
      <w:tr w:rsidR="007C502B" w:rsidRPr="00FE5EE8" w14:paraId="7EED4E47" w14:textId="77777777" w:rsidTr="00C8696D">
        <w:tc>
          <w:tcPr>
            <w:tcW w:w="1531" w:type="dxa"/>
          </w:tcPr>
          <w:p w14:paraId="20DDD8EF" w14:textId="77777777" w:rsidR="007C502B" w:rsidRPr="00FE5EE8" w:rsidRDefault="007C502B" w:rsidP="00046D24">
            <w:pPr>
              <w:spacing w:before="60" w:after="60"/>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FPIC</w:t>
            </w:r>
            <w:r>
              <w:rPr>
                <w:rFonts w:ascii="Arial" w:eastAsia="Times New Roman" w:hAnsi="Arial" w:cs="Arial"/>
                <w:bCs/>
                <w:sz w:val="16"/>
                <w:szCs w:val="16"/>
                <w:lang w:eastAsia="fr-FR"/>
              </w:rPr>
              <w:t xml:space="preserve"> (contrib.)</w:t>
            </w:r>
          </w:p>
        </w:tc>
        <w:tc>
          <w:tcPr>
            <w:tcW w:w="964" w:type="dxa"/>
          </w:tcPr>
          <w:p w14:paraId="79D80A62"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192 425</w:t>
            </w:r>
          </w:p>
        </w:tc>
        <w:tc>
          <w:tcPr>
            <w:tcW w:w="964" w:type="dxa"/>
          </w:tcPr>
          <w:p w14:paraId="70134F54"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197 781</w:t>
            </w:r>
          </w:p>
        </w:tc>
        <w:tc>
          <w:tcPr>
            <w:tcW w:w="964" w:type="dxa"/>
          </w:tcPr>
          <w:p w14:paraId="2FD741ED"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181 335</w:t>
            </w:r>
          </w:p>
        </w:tc>
        <w:tc>
          <w:tcPr>
            <w:tcW w:w="964" w:type="dxa"/>
          </w:tcPr>
          <w:p w14:paraId="7008F70A" w14:textId="77777777" w:rsidR="007C502B" w:rsidRPr="00FE5EE8" w:rsidRDefault="0098116E"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156 342</w:t>
            </w:r>
          </w:p>
        </w:tc>
        <w:tc>
          <w:tcPr>
            <w:tcW w:w="964" w:type="dxa"/>
          </w:tcPr>
          <w:p w14:paraId="22FA2196" w14:textId="77777777" w:rsidR="007C502B" w:rsidRPr="00FE5EE8" w:rsidRDefault="0098116E"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153 548</w:t>
            </w:r>
          </w:p>
        </w:tc>
        <w:tc>
          <w:tcPr>
            <w:tcW w:w="964" w:type="dxa"/>
          </w:tcPr>
          <w:p w14:paraId="70E74125"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180 000</w:t>
            </w:r>
          </w:p>
        </w:tc>
        <w:tc>
          <w:tcPr>
            <w:tcW w:w="964" w:type="dxa"/>
          </w:tcPr>
          <w:p w14:paraId="72BB177B" w14:textId="77777777" w:rsidR="007C502B" w:rsidRPr="00FE5EE8" w:rsidRDefault="007C502B"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180 000</w:t>
            </w:r>
          </w:p>
        </w:tc>
        <w:tc>
          <w:tcPr>
            <w:tcW w:w="964" w:type="dxa"/>
          </w:tcPr>
          <w:p w14:paraId="0E80D162" w14:textId="77777777" w:rsidR="007C502B" w:rsidRDefault="0098116E" w:rsidP="009027C1">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180 000</w:t>
            </w:r>
          </w:p>
        </w:tc>
      </w:tr>
    </w:tbl>
    <w:p w14:paraId="70E0E40A" w14:textId="77777777" w:rsidR="009027C1" w:rsidRPr="00FE5EE8" w:rsidRDefault="009027C1" w:rsidP="009027C1">
      <w:pPr>
        <w:autoSpaceDE w:val="0"/>
        <w:autoSpaceDN w:val="0"/>
        <w:adjustRightInd w:val="0"/>
        <w:spacing w:before="200"/>
        <w:jc w:val="both"/>
        <w:rPr>
          <w:rFonts w:ascii="Arial" w:hAnsi="Arial" w:cs="Arial"/>
          <w:color w:val="000000"/>
          <w:sz w:val="20"/>
          <w:szCs w:val="20"/>
        </w:rPr>
      </w:pPr>
      <w:r w:rsidRPr="00FE5EE8">
        <w:rPr>
          <w:rFonts w:ascii="Arial" w:hAnsi="Arial" w:cs="Arial"/>
          <w:color w:val="000000"/>
          <w:sz w:val="20"/>
          <w:szCs w:val="20"/>
        </w:rPr>
        <w:t>* Contribution au redressement des finances publiques (CRFP)</w:t>
      </w:r>
    </w:p>
    <w:p w14:paraId="7E994359" w14:textId="77777777" w:rsidR="00114AC9" w:rsidRPr="00BB1B99" w:rsidRDefault="000A7B33" w:rsidP="003B2259">
      <w:pPr>
        <w:autoSpaceDE w:val="0"/>
        <w:autoSpaceDN w:val="0"/>
        <w:adjustRightInd w:val="0"/>
        <w:jc w:val="both"/>
        <w:rPr>
          <w:rFonts w:ascii="Arial" w:hAnsi="Arial" w:cs="Arial"/>
          <w:sz w:val="20"/>
          <w:szCs w:val="20"/>
        </w:rPr>
      </w:pPr>
      <w:r w:rsidRPr="00BB1B99">
        <w:rPr>
          <w:rFonts w:ascii="Arial" w:hAnsi="Arial" w:cs="Arial"/>
          <w:sz w:val="20"/>
          <w:szCs w:val="20"/>
        </w:rPr>
        <w:t>La</w:t>
      </w:r>
      <w:r w:rsidR="00B97148" w:rsidRPr="00BB1B99">
        <w:rPr>
          <w:rFonts w:ascii="Arial" w:hAnsi="Arial" w:cs="Arial"/>
          <w:sz w:val="20"/>
          <w:szCs w:val="20"/>
        </w:rPr>
        <w:t xml:space="preserve"> dotation forfaitaire (DF)</w:t>
      </w:r>
      <w:r w:rsidR="00C47FAE" w:rsidRPr="00BB1B99">
        <w:rPr>
          <w:rFonts w:ascii="Arial" w:hAnsi="Arial" w:cs="Arial"/>
          <w:sz w:val="20"/>
          <w:szCs w:val="20"/>
        </w:rPr>
        <w:t xml:space="preserve"> </w:t>
      </w:r>
      <w:r w:rsidRPr="00BB1B99">
        <w:rPr>
          <w:rFonts w:ascii="Arial" w:hAnsi="Arial" w:cs="Arial"/>
          <w:sz w:val="20"/>
          <w:szCs w:val="20"/>
        </w:rPr>
        <w:t>poursuit s</w:t>
      </w:r>
      <w:r w:rsidR="00114AC9" w:rsidRPr="00BB1B99">
        <w:rPr>
          <w:rFonts w:ascii="Arial" w:hAnsi="Arial" w:cs="Arial"/>
          <w:sz w:val="20"/>
          <w:szCs w:val="20"/>
        </w:rPr>
        <w:t>a diminution, la part calculée en fonction de la croissance de la population ne compensant pas l’écrêtement mis en place pour financer notamment la progression de la péréquation au sein de l’enveloppe DGF. Cette dernière,</w:t>
      </w:r>
      <w:r w:rsidR="00284A25" w:rsidRPr="00BB1B99">
        <w:rPr>
          <w:rFonts w:ascii="Arial" w:hAnsi="Arial" w:cs="Arial"/>
          <w:sz w:val="20"/>
          <w:szCs w:val="20"/>
        </w:rPr>
        <w:t xml:space="preserve"> qui inclut</w:t>
      </w:r>
      <w:r w:rsidR="00C47FAE" w:rsidRPr="00BB1B99">
        <w:rPr>
          <w:rFonts w:ascii="Arial" w:hAnsi="Arial" w:cs="Arial"/>
          <w:sz w:val="20"/>
          <w:szCs w:val="20"/>
        </w:rPr>
        <w:t xml:space="preserve"> également</w:t>
      </w:r>
      <w:r w:rsidR="00B97148" w:rsidRPr="00BB1B99">
        <w:rPr>
          <w:rFonts w:ascii="Arial" w:hAnsi="Arial" w:cs="Arial"/>
          <w:sz w:val="20"/>
          <w:szCs w:val="20"/>
        </w:rPr>
        <w:t xml:space="preserve"> la dotation de solidarité urbaine (DSU) et la dotation nationale de péréquation (DNP), </w:t>
      </w:r>
      <w:r w:rsidR="00C47FAE" w:rsidRPr="00BB1B99">
        <w:rPr>
          <w:rFonts w:ascii="Arial" w:hAnsi="Arial" w:cs="Arial"/>
          <w:sz w:val="20"/>
          <w:szCs w:val="20"/>
        </w:rPr>
        <w:t xml:space="preserve">a </w:t>
      </w:r>
      <w:r w:rsidR="00C044A8" w:rsidRPr="00BB1B99">
        <w:rPr>
          <w:rFonts w:ascii="Arial" w:hAnsi="Arial" w:cs="Arial"/>
          <w:sz w:val="20"/>
          <w:szCs w:val="20"/>
        </w:rPr>
        <w:t>cessé</w:t>
      </w:r>
      <w:r w:rsidR="00B97148" w:rsidRPr="00BB1B99">
        <w:rPr>
          <w:rFonts w:ascii="Arial" w:hAnsi="Arial" w:cs="Arial"/>
          <w:sz w:val="20"/>
          <w:szCs w:val="20"/>
        </w:rPr>
        <w:t xml:space="preserve"> de décroître</w:t>
      </w:r>
      <w:r w:rsidR="00BB1B99" w:rsidRPr="00BB1B99">
        <w:rPr>
          <w:rFonts w:ascii="Arial" w:hAnsi="Arial" w:cs="Arial"/>
          <w:sz w:val="20"/>
          <w:szCs w:val="20"/>
        </w:rPr>
        <w:t xml:space="preserve">, </w:t>
      </w:r>
      <w:r w:rsidR="00BB1B99">
        <w:rPr>
          <w:rFonts w:ascii="Arial" w:hAnsi="Arial" w:cs="Arial"/>
          <w:sz w:val="20"/>
          <w:szCs w:val="20"/>
        </w:rPr>
        <w:t>sous</w:t>
      </w:r>
      <w:r w:rsidR="00BB1B99" w:rsidRPr="00BB1B99">
        <w:rPr>
          <w:rFonts w:ascii="Arial" w:hAnsi="Arial" w:cs="Arial"/>
          <w:sz w:val="20"/>
          <w:szCs w:val="20"/>
        </w:rPr>
        <w:t xml:space="preserve"> </w:t>
      </w:r>
      <w:r w:rsidR="00BB1B99">
        <w:rPr>
          <w:rFonts w:ascii="Arial" w:hAnsi="Arial" w:cs="Arial"/>
          <w:sz w:val="20"/>
          <w:szCs w:val="20"/>
        </w:rPr>
        <w:t xml:space="preserve">l’effet </w:t>
      </w:r>
      <w:r w:rsidR="00BB1B99" w:rsidRPr="00BB1B99">
        <w:rPr>
          <w:rFonts w:ascii="Arial" w:hAnsi="Arial" w:cs="Arial"/>
          <w:sz w:val="20"/>
          <w:szCs w:val="20"/>
        </w:rPr>
        <w:t>notamment des abondements des enveloppes de péréquation</w:t>
      </w:r>
      <w:r w:rsidR="00E102CE">
        <w:rPr>
          <w:rFonts w:ascii="Arial" w:hAnsi="Arial" w:cs="Arial"/>
          <w:sz w:val="20"/>
          <w:szCs w:val="20"/>
        </w:rPr>
        <w:t>, Il est rappelé que l’enveloppe DGF est une enveloppe fermée.</w:t>
      </w:r>
    </w:p>
    <w:p w14:paraId="58B9A6F1" w14:textId="77777777" w:rsidR="002A4C1E" w:rsidRPr="00BB1B99" w:rsidRDefault="00C044A8" w:rsidP="003B2259">
      <w:pPr>
        <w:autoSpaceDE w:val="0"/>
        <w:autoSpaceDN w:val="0"/>
        <w:adjustRightInd w:val="0"/>
        <w:jc w:val="both"/>
        <w:rPr>
          <w:rFonts w:ascii="Arial" w:hAnsi="Arial" w:cs="Arial"/>
          <w:sz w:val="20"/>
          <w:szCs w:val="20"/>
        </w:rPr>
      </w:pPr>
      <w:r w:rsidRPr="00BB1B99">
        <w:rPr>
          <w:rFonts w:ascii="Arial" w:hAnsi="Arial" w:cs="Arial"/>
          <w:sz w:val="20"/>
          <w:szCs w:val="20"/>
        </w:rPr>
        <w:t>De plus</w:t>
      </w:r>
      <w:r w:rsidR="00677B2D" w:rsidRPr="00BB1B99">
        <w:rPr>
          <w:rFonts w:ascii="Arial" w:hAnsi="Arial" w:cs="Arial"/>
          <w:sz w:val="20"/>
          <w:szCs w:val="20"/>
        </w:rPr>
        <w:t>, la ville est</w:t>
      </w:r>
      <w:r w:rsidR="00FF63CD" w:rsidRPr="00BB1B99">
        <w:rPr>
          <w:rFonts w:ascii="Arial" w:hAnsi="Arial" w:cs="Arial"/>
          <w:sz w:val="20"/>
          <w:szCs w:val="20"/>
        </w:rPr>
        <w:t xml:space="preserve"> </w:t>
      </w:r>
      <w:r w:rsidR="00677B2D" w:rsidRPr="00BB1B99">
        <w:rPr>
          <w:rFonts w:ascii="Arial" w:hAnsi="Arial" w:cs="Arial"/>
          <w:sz w:val="20"/>
          <w:szCs w:val="20"/>
        </w:rPr>
        <w:t>bénéficiaire du</w:t>
      </w:r>
      <w:r w:rsidR="00B97148" w:rsidRPr="00BB1B99">
        <w:rPr>
          <w:rFonts w:ascii="Arial" w:hAnsi="Arial" w:cs="Arial"/>
          <w:sz w:val="20"/>
          <w:szCs w:val="20"/>
        </w:rPr>
        <w:t xml:space="preserve"> fonds</w:t>
      </w:r>
      <w:r w:rsidR="000B6BB9" w:rsidRPr="00BB1B99">
        <w:rPr>
          <w:rFonts w:ascii="Arial" w:hAnsi="Arial" w:cs="Arial"/>
          <w:sz w:val="20"/>
          <w:szCs w:val="20"/>
        </w:rPr>
        <w:t xml:space="preserve"> de solidarité des </w:t>
      </w:r>
      <w:r w:rsidR="00677B2D" w:rsidRPr="00BB1B99">
        <w:rPr>
          <w:rFonts w:ascii="Arial" w:hAnsi="Arial" w:cs="Arial"/>
          <w:sz w:val="20"/>
          <w:szCs w:val="20"/>
        </w:rPr>
        <w:t>communes de la région Ile-de-France</w:t>
      </w:r>
      <w:r w:rsidR="002A4C1E" w:rsidRPr="00BB1B99">
        <w:rPr>
          <w:rFonts w:ascii="Arial" w:hAnsi="Arial" w:cs="Arial"/>
          <w:sz w:val="20"/>
          <w:szCs w:val="20"/>
        </w:rPr>
        <w:t xml:space="preserve"> (FSRIF)</w:t>
      </w:r>
      <w:r w:rsidR="00677B2D" w:rsidRPr="00BB1B99">
        <w:rPr>
          <w:rFonts w:ascii="Arial" w:hAnsi="Arial" w:cs="Arial"/>
          <w:sz w:val="20"/>
          <w:szCs w:val="20"/>
        </w:rPr>
        <w:t xml:space="preserve"> et contributeur au fonds de péréquation des ressources intercommunales et communales (FPIC)</w:t>
      </w:r>
      <w:r w:rsidR="002A4C1E" w:rsidRPr="00BB1B99">
        <w:rPr>
          <w:rFonts w:ascii="Arial" w:hAnsi="Arial" w:cs="Arial"/>
          <w:sz w:val="20"/>
          <w:szCs w:val="20"/>
        </w:rPr>
        <w:t>.</w:t>
      </w:r>
    </w:p>
    <w:p w14:paraId="65463DE5" w14:textId="77777777" w:rsidR="008F6A99" w:rsidRPr="000A7B33" w:rsidRDefault="000A7B33" w:rsidP="003B2259">
      <w:pPr>
        <w:autoSpaceDE w:val="0"/>
        <w:autoSpaceDN w:val="0"/>
        <w:adjustRightInd w:val="0"/>
        <w:jc w:val="both"/>
        <w:rPr>
          <w:rFonts w:ascii="Arial" w:hAnsi="Arial" w:cs="Arial"/>
          <w:sz w:val="20"/>
          <w:szCs w:val="20"/>
        </w:rPr>
      </w:pPr>
      <w:r w:rsidRPr="000A7B33">
        <w:rPr>
          <w:rFonts w:ascii="Arial" w:hAnsi="Arial" w:cs="Arial"/>
          <w:sz w:val="20"/>
          <w:szCs w:val="20"/>
        </w:rPr>
        <w:t>Compte-tenu de la refonte des indicateurs financiers en cours, des risques de disparition de la DNP et de changement de modalités de calcul de la DSU (</w:t>
      </w:r>
      <w:r w:rsidR="00111778">
        <w:rPr>
          <w:rFonts w:ascii="Arial" w:hAnsi="Arial" w:cs="Arial"/>
          <w:sz w:val="20"/>
          <w:szCs w:val="20"/>
        </w:rPr>
        <w:t xml:space="preserve">depuis la LF pour 2017, </w:t>
      </w:r>
      <w:r w:rsidRPr="000A7B33">
        <w:rPr>
          <w:rFonts w:ascii="Arial" w:hAnsi="Arial" w:cs="Arial"/>
          <w:sz w:val="20"/>
          <w:szCs w:val="20"/>
        </w:rPr>
        <w:t xml:space="preserve">seule la </w:t>
      </w:r>
      <w:r w:rsidR="00111778">
        <w:rPr>
          <w:rFonts w:ascii="Arial" w:hAnsi="Arial" w:cs="Arial"/>
          <w:sz w:val="20"/>
          <w:szCs w:val="20"/>
        </w:rPr>
        <w:t>progression</w:t>
      </w:r>
      <w:r w:rsidRPr="000A7B33">
        <w:rPr>
          <w:rFonts w:ascii="Arial" w:hAnsi="Arial" w:cs="Arial"/>
          <w:sz w:val="20"/>
          <w:szCs w:val="20"/>
        </w:rPr>
        <w:t xml:space="preserve"> annuelle est </w:t>
      </w:r>
      <w:r w:rsidR="00111778">
        <w:rPr>
          <w:rFonts w:ascii="Arial" w:hAnsi="Arial" w:cs="Arial"/>
          <w:sz w:val="20"/>
          <w:szCs w:val="20"/>
        </w:rPr>
        <w:t>répartie entre les communes éligibles</w:t>
      </w:r>
      <w:r w:rsidRPr="000A7B33">
        <w:rPr>
          <w:rFonts w:ascii="Arial" w:hAnsi="Arial" w:cs="Arial"/>
          <w:sz w:val="20"/>
          <w:szCs w:val="20"/>
        </w:rPr>
        <w:t xml:space="preserve">, </w:t>
      </w:r>
      <w:r w:rsidR="00111778">
        <w:rPr>
          <w:rFonts w:ascii="Arial" w:hAnsi="Arial" w:cs="Arial"/>
          <w:sz w:val="20"/>
          <w:szCs w:val="20"/>
        </w:rPr>
        <w:t>le</w:t>
      </w:r>
      <w:r w:rsidRPr="000A7B33">
        <w:rPr>
          <w:rFonts w:ascii="Arial" w:hAnsi="Arial" w:cs="Arial"/>
          <w:sz w:val="20"/>
          <w:szCs w:val="20"/>
        </w:rPr>
        <w:t xml:space="preserve"> calcul </w:t>
      </w:r>
      <w:r w:rsidR="00111778">
        <w:rPr>
          <w:rFonts w:ascii="Arial" w:hAnsi="Arial" w:cs="Arial"/>
          <w:sz w:val="20"/>
          <w:szCs w:val="20"/>
        </w:rPr>
        <w:t>ne porte plus sur</w:t>
      </w:r>
      <w:r w:rsidRPr="000A7B33">
        <w:rPr>
          <w:rFonts w:ascii="Arial" w:hAnsi="Arial" w:cs="Arial"/>
          <w:sz w:val="20"/>
          <w:szCs w:val="20"/>
        </w:rPr>
        <w:t xml:space="preserve"> l’ensemble</w:t>
      </w:r>
      <w:r w:rsidR="00111778">
        <w:rPr>
          <w:rFonts w:ascii="Arial" w:hAnsi="Arial" w:cs="Arial"/>
          <w:sz w:val="20"/>
          <w:szCs w:val="20"/>
        </w:rPr>
        <w:t xml:space="preserve"> de la dotation</w:t>
      </w:r>
      <w:r w:rsidRPr="000A7B33">
        <w:rPr>
          <w:rFonts w:ascii="Arial" w:hAnsi="Arial" w:cs="Arial"/>
          <w:sz w:val="20"/>
          <w:szCs w:val="20"/>
        </w:rPr>
        <w:t>)</w:t>
      </w:r>
      <w:r w:rsidR="00C044A8" w:rsidRPr="000A7B33">
        <w:rPr>
          <w:rFonts w:ascii="Arial" w:hAnsi="Arial" w:cs="Arial"/>
          <w:sz w:val="20"/>
          <w:szCs w:val="20"/>
        </w:rPr>
        <w:t>, la projection financière</w:t>
      </w:r>
      <w:r w:rsidR="00FF63CD" w:rsidRPr="000A7B33">
        <w:rPr>
          <w:rFonts w:ascii="Arial" w:hAnsi="Arial" w:cs="Arial"/>
          <w:sz w:val="20"/>
          <w:szCs w:val="20"/>
        </w:rPr>
        <w:t xml:space="preserve"> </w:t>
      </w:r>
      <w:r w:rsidR="00B22FEB" w:rsidRPr="000A7B33">
        <w:rPr>
          <w:rFonts w:ascii="Arial" w:hAnsi="Arial" w:cs="Arial"/>
          <w:sz w:val="20"/>
          <w:szCs w:val="20"/>
        </w:rPr>
        <w:t>est établie sur la base d’une reconduction</w:t>
      </w:r>
      <w:r w:rsidR="00C044A8" w:rsidRPr="000A7B33">
        <w:rPr>
          <w:rFonts w:ascii="Arial" w:hAnsi="Arial" w:cs="Arial"/>
          <w:sz w:val="20"/>
          <w:szCs w:val="20"/>
        </w:rPr>
        <w:t xml:space="preserve"> à l’identique de</w:t>
      </w:r>
      <w:r w:rsidR="00FF63CD" w:rsidRPr="000A7B33">
        <w:rPr>
          <w:rFonts w:ascii="Arial" w:hAnsi="Arial" w:cs="Arial"/>
          <w:sz w:val="20"/>
          <w:szCs w:val="20"/>
        </w:rPr>
        <w:t xml:space="preserve"> </w:t>
      </w:r>
      <w:r w:rsidR="00C044A8" w:rsidRPr="000A7B33">
        <w:rPr>
          <w:rFonts w:ascii="Arial" w:hAnsi="Arial" w:cs="Arial"/>
          <w:sz w:val="20"/>
          <w:szCs w:val="20"/>
        </w:rPr>
        <w:t>nombreuses dotations</w:t>
      </w:r>
      <w:r w:rsidR="00B22FEB" w:rsidRPr="000A7B33">
        <w:rPr>
          <w:rFonts w:ascii="Arial" w:hAnsi="Arial" w:cs="Arial"/>
          <w:sz w:val="20"/>
          <w:szCs w:val="20"/>
        </w:rPr>
        <w:t>.</w:t>
      </w:r>
    </w:p>
    <w:p w14:paraId="52C16BEF" w14:textId="77777777" w:rsidR="00120C64" w:rsidRDefault="00120C64" w:rsidP="003B2259">
      <w:pPr>
        <w:autoSpaceDE w:val="0"/>
        <w:autoSpaceDN w:val="0"/>
        <w:adjustRightInd w:val="0"/>
        <w:jc w:val="both"/>
        <w:rPr>
          <w:rFonts w:ascii="Arial" w:hAnsi="Arial" w:cs="Arial"/>
          <w:color w:val="000000"/>
          <w:sz w:val="20"/>
          <w:szCs w:val="20"/>
          <w:u w:val="single"/>
        </w:rPr>
      </w:pPr>
    </w:p>
    <w:p w14:paraId="61567F52" w14:textId="77777777" w:rsidR="00A650BD" w:rsidRDefault="00A650BD" w:rsidP="003B2259">
      <w:pPr>
        <w:autoSpaceDE w:val="0"/>
        <w:autoSpaceDN w:val="0"/>
        <w:adjustRightInd w:val="0"/>
        <w:jc w:val="both"/>
        <w:rPr>
          <w:rFonts w:ascii="Arial" w:hAnsi="Arial" w:cs="Arial"/>
          <w:color w:val="000000"/>
          <w:sz w:val="20"/>
          <w:szCs w:val="20"/>
          <w:u w:val="single"/>
        </w:rPr>
      </w:pPr>
    </w:p>
    <w:p w14:paraId="4E5F6247" w14:textId="77777777" w:rsidR="00B22FEB" w:rsidRPr="00FE5EE8" w:rsidRDefault="007E5937" w:rsidP="003B2259">
      <w:pPr>
        <w:autoSpaceDE w:val="0"/>
        <w:autoSpaceDN w:val="0"/>
        <w:adjustRightInd w:val="0"/>
        <w:jc w:val="both"/>
        <w:rPr>
          <w:rFonts w:ascii="Arial" w:hAnsi="Arial" w:cs="Arial"/>
          <w:color w:val="000000"/>
          <w:sz w:val="20"/>
          <w:szCs w:val="20"/>
          <w:u w:val="single"/>
        </w:rPr>
      </w:pPr>
      <w:r w:rsidRPr="00FE5EE8">
        <w:rPr>
          <w:rFonts w:ascii="Arial" w:hAnsi="Arial" w:cs="Arial"/>
          <w:color w:val="000000"/>
          <w:sz w:val="20"/>
          <w:szCs w:val="20"/>
          <w:u w:val="single"/>
        </w:rPr>
        <w:lastRenderedPageBreak/>
        <w:t>Les recettes réelles de fonctionnement</w:t>
      </w:r>
    </w:p>
    <w:p w14:paraId="3C4A1070" w14:textId="77777777" w:rsidR="00714DA7" w:rsidRDefault="007E5937" w:rsidP="00B71B1B">
      <w:pPr>
        <w:autoSpaceDE w:val="0"/>
        <w:autoSpaceDN w:val="0"/>
        <w:adjustRightInd w:val="0"/>
        <w:jc w:val="both"/>
        <w:rPr>
          <w:rFonts w:ascii="Arial" w:hAnsi="Arial" w:cs="Arial"/>
          <w:sz w:val="20"/>
          <w:szCs w:val="20"/>
        </w:rPr>
      </w:pPr>
      <w:r w:rsidRPr="00FE5EE8">
        <w:rPr>
          <w:rFonts w:ascii="Arial" w:hAnsi="Arial" w:cs="Arial"/>
          <w:color w:val="000000"/>
          <w:sz w:val="20"/>
          <w:szCs w:val="20"/>
        </w:rPr>
        <w:t>Sur la base des éléments qui précèdent, elles sont évaluées de la façon suivante</w:t>
      </w:r>
      <w:r w:rsidR="008F6A99" w:rsidRPr="00011D87">
        <w:rPr>
          <w:rFonts w:ascii="Arial" w:hAnsi="Arial" w:cs="Arial"/>
          <w:sz w:val="20"/>
          <w:szCs w:val="20"/>
        </w:rPr>
        <w:t>, étant précisé</w:t>
      </w:r>
      <w:r w:rsidR="006D0F33">
        <w:rPr>
          <w:rFonts w:ascii="Arial" w:hAnsi="Arial" w:cs="Arial"/>
          <w:sz w:val="20"/>
          <w:szCs w:val="20"/>
        </w:rPr>
        <w:t xml:space="preserve"> que</w:t>
      </w:r>
      <w:r w:rsidR="00714DA7">
        <w:rPr>
          <w:rFonts w:ascii="Arial" w:hAnsi="Arial" w:cs="Arial"/>
          <w:sz w:val="20"/>
          <w:szCs w:val="20"/>
        </w:rPr>
        <w:t xml:space="preserve"> : </w:t>
      </w:r>
    </w:p>
    <w:p w14:paraId="00657FF1" w14:textId="77777777" w:rsidR="007E5937" w:rsidRDefault="008F6A99" w:rsidP="00714DA7">
      <w:pPr>
        <w:pStyle w:val="Paragraphedeliste"/>
        <w:numPr>
          <w:ilvl w:val="0"/>
          <w:numId w:val="9"/>
        </w:numPr>
        <w:autoSpaceDE w:val="0"/>
        <w:autoSpaceDN w:val="0"/>
        <w:adjustRightInd w:val="0"/>
        <w:jc w:val="both"/>
        <w:rPr>
          <w:rFonts w:ascii="Arial" w:hAnsi="Arial" w:cs="Arial"/>
          <w:sz w:val="20"/>
          <w:szCs w:val="20"/>
        </w:rPr>
      </w:pPr>
      <w:proofErr w:type="gramStart"/>
      <w:r w:rsidRPr="00714DA7">
        <w:rPr>
          <w:rFonts w:ascii="Arial" w:hAnsi="Arial" w:cs="Arial"/>
          <w:sz w:val="20"/>
          <w:szCs w:val="20"/>
        </w:rPr>
        <w:t>la</w:t>
      </w:r>
      <w:proofErr w:type="gramEnd"/>
      <w:r w:rsidRPr="00714DA7">
        <w:rPr>
          <w:rFonts w:ascii="Arial" w:hAnsi="Arial" w:cs="Arial"/>
          <w:sz w:val="20"/>
          <w:szCs w:val="20"/>
        </w:rPr>
        <w:t xml:space="preserve"> révision du quotient familial</w:t>
      </w:r>
      <w:r w:rsidR="00D009C0">
        <w:rPr>
          <w:rFonts w:ascii="Arial" w:hAnsi="Arial" w:cs="Arial"/>
          <w:sz w:val="20"/>
          <w:szCs w:val="20"/>
        </w:rPr>
        <w:t xml:space="preserve"> et par voie de conséquence la mise en</w:t>
      </w:r>
      <w:r w:rsidR="0031331B">
        <w:rPr>
          <w:rFonts w:ascii="Arial" w:hAnsi="Arial" w:cs="Arial"/>
          <w:sz w:val="20"/>
          <w:szCs w:val="20"/>
        </w:rPr>
        <w:t xml:space="preserve"> œuvre d’une réforme tarifaire, </w:t>
      </w:r>
      <w:r w:rsidRPr="00714DA7">
        <w:rPr>
          <w:rFonts w:ascii="Arial" w:hAnsi="Arial" w:cs="Arial"/>
          <w:sz w:val="20"/>
          <w:szCs w:val="20"/>
        </w:rPr>
        <w:t xml:space="preserve">à intervenir </w:t>
      </w:r>
      <w:r w:rsidRPr="00A650BD">
        <w:rPr>
          <w:rFonts w:ascii="Arial" w:hAnsi="Arial" w:cs="Arial"/>
          <w:sz w:val="20"/>
          <w:szCs w:val="20"/>
        </w:rPr>
        <w:t xml:space="preserve">en </w:t>
      </w:r>
      <w:r w:rsidR="00582805" w:rsidRPr="00A650BD">
        <w:rPr>
          <w:rFonts w:ascii="Arial" w:hAnsi="Arial" w:cs="Arial"/>
          <w:sz w:val="20"/>
          <w:szCs w:val="20"/>
        </w:rPr>
        <w:t>2023</w:t>
      </w:r>
      <w:r w:rsidRPr="00A650BD">
        <w:rPr>
          <w:rFonts w:ascii="Arial" w:hAnsi="Arial" w:cs="Arial"/>
          <w:sz w:val="20"/>
          <w:szCs w:val="20"/>
        </w:rPr>
        <w:t xml:space="preserve"> </w:t>
      </w:r>
      <w:r w:rsidR="00C46CA8">
        <w:rPr>
          <w:rFonts w:ascii="Arial" w:hAnsi="Arial" w:cs="Arial"/>
          <w:sz w:val="20"/>
          <w:szCs w:val="20"/>
        </w:rPr>
        <w:t xml:space="preserve">et qui </w:t>
      </w:r>
      <w:r w:rsidRPr="00714DA7">
        <w:rPr>
          <w:rFonts w:ascii="Arial" w:hAnsi="Arial" w:cs="Arial"/>
          <w:sz w:val="20"/>
          <w:szCs w:val="20"/>
        </w:rPr>
        <w:t xml:space="preserve">ne devrait pas modifier significativement les </w:t>
      </w:r>
      <w:r w:rsidR="009961CF" w:rsidRPr="00714DA7">
        <w:rPr>
          <w:rFonts w:ascii="Arial" w:hAnsi="Arial" w:cs="Arial"/>
          <w:sz w:val="20"/>
          <w:szCs w:val="20"/>
        </w:rPr>
        <w:t>produits des services</w:t>
      </w:r>
      <w:r w:rsidR="00BB1B99">
        <w:rPr>
          <w:rFonts w:ascii="Arial" w:hAnsi="Arial" w:cs="Arial"/>
          <w:sz w:val="20"/>
          <w:szCs w:val="20"/>
        </w:rPr>
        <w:t> ;</w:t>
      </w:r>
    </w:p>
    <w:p w14:paraId="50E9FF91" w14:textId="77777777" w:rsidR="00714DA7" w:rsidRDefault="00714DA7" w:rsidP="00714DA7">
      <w:pPr>
        <w:pStyle w:val="Paragraphedeliste"/>
        <w:numPr>
          <w:ilvl w:val="0"/>
          <w:numId w:val="9"/>
        </w:numPr>
        <w:autoSpaceDE w:val="0"/>
        <w:autoSpaceDN w:val="0"/>
        <w:adjustRightInd w:val="0"/>
        <w:jc w:val="both"/>
        <w:rPr>
          <w:rFonts w:ascii="Arial" w:hAnsi="Arial" w:cs="Arial"/>
          <w:sz w:val="20"/>
          <w:szCs w:val="20"/>
        </w:rPr>
      </w:pPr>
      <w:proofErr w:type="gramStart"/>
      <w:r w:rsidRPr="00022E2B">
        <w:rPr>
          <w:rFonts w:ascii="Arial" w:hAnsi="Arial" w:cs="Arial"/>
          <w:sz w:val="20"/>
          <w:szCs w:val="20"/>
        </w:rPr>
        <w:t>les</w:t>
      </w:r>
      <w:proofErr w:type="gramEnd"/>
      <w:r w:rsidRPr="00022E2B">
        <w:rPr>
          <w:rFonts w:ascii="Arial" w:hAnsi="Arial" w:cs="Arial"/>
          <w:sz w:val="20"/>
          <w:szCs w:val="20"/>
        </w:rPr>
        <w:t xml:space="preserve"> tarifs des services mun</w:t>
      </w:r>
      <w:r w:rsidR="00BB1B99" w:rsidRPr="00022E2B">
        <w:rPr>
          <w:rFonts w:ascii="Arial" w:hAnsi="Arial" w:cs="Arial"/>
          <w:sz w:val="20"/>
          <w:szCs w:val="20"/>
        </w:rPr>
        <w:t>icipaux n’augmentent pas en 2022</w:t>
      </w:r>
      <w:r w:rsidRPr="00022E2B">
        <w:rPr>
          <w:rFonts w:ascii="Arial" w:hAnsi="Arial" w:cs="Arial"/>
          <w:sz w:val="20"/>
          <w:szCs w:val="20"/>
        </w:rPr>
        <w:t xml:space="preserve">, conformément </w:t>
      </w:r>
      <w:r w:rsidR="00022E2B" w:rsidRPr="00022E2B">
        <w:rPr>
          <w:rFonts w:ascii="Arial" w:hAnsi="Arial" w:cs="Arial"/>
          <w:sz w:val="20"/>
          <w:szCs w:val="20"/>
        </w:rPr>
        <w:t>aux</w:t>
      </w:r>
      <w:r w:rsidR="00BB1B99" w:rsidRPr="00022E2B">
        <w:rPr>
          <w:rFonts w:ascii="Arial" w:hAnsi="Arial" w:cs="Arial"/>
          <w:sz w:val="20"/>
          <w:szCs w:val="20"/>
        </w:rPr>
        <w:t xml:space="preserve"> délibération</w:t>
      </w:r>
      <w:r w:rsidR="00022E2B" w:rsidRPr="00022E2B">
        <w:rPr>
          <w:rFonts w:ascii="Arial" w:hAnsi="Arial" w:cs="Arial"/>
          <w:sz w:val="20"/>
          <w:szCs w:val="20"/>
        </w:rPr>
        <w:t>s approuvées par le</w:t>
      </w:r>
      <w:r w:rsidR="00BB1B99" w:rsidRPr="00022E2B">
        <w:rPr>
          <w:rFonts w:ascii="Arial" w:hAnsi="Arial" w:cs="Arial"/>
          <w:sz w:val="20"/>
          <w:szCs w:val="20"/>
        </w:rPr>
        <w:t xml:space="preserve"> Conseil m</w:t>
      </w:r>
      <w:r w:rsidR="00022E2B" w:rsidRPr="00022E2B">
        <w:rPr>
          <w:rFonts w:ascii="Arial" w:hAnsi="Arial" w:cs="Arial"/>
          <w:sz w:val="20"/>
          <w:szCs w:val="20"/>
        </w:rPr>
        <w:t>unicipal aux mois de</w:t>
      </w:r>
      <w:r w:rsidRPr="00022E2B">
        <w:rPr>
          <w:rFonts w:ascii="Arial" w:hAnsi="Arial" w:cs="Arial"/>
          <w:sz w:val="20"/>
          <w:szCs w:val="20"/>
        </w:rPr>
        <w:t xml:space="preserve"> </w:t>
      </w:r>
      <w:r w:rsidR="00022E2B" w:rsidRPr="00022E2B">
        <w:rPr>
          <w:rFonts w:ascii="Arial" w:hAnsi="Arial" w:cs="Arial"/>
          <w:sz w:val="20"/>
          <w:szCs w:val="20"/>
        </w:rPr>
        <w:t>juin et octobre dernier</w:t>
      </w:r>
      <w:r w:rsidR="00BB1B99" w:rsidRPr="00022E2B">
        <w:rPr>
          <w:rFonts w:ascii="Arial" w:hAnsi="Arial" w:cs="Arial"/>
          <w:sz w:val="20"/>
          <w:szCs w:val="20"/>
        </w:rPr>
        <w:t>.</w:t>
      </w:r>
    </w:p>
    <w:p w14:paraId="3BFE2E4D" w14:textId="77777777" w:rsidR="00022E2B" w:rsidRPr="00022E2B" w:rsidRDefault="00022E2B" w:rsidP="00124632">
      <w:pPr>
        <w:pStyle w:val="Paragraphedeliste"/>
        <w:autoSpaceDE w:val="0"/>
        <w:autoSpaceDN w:val="0"/>
        <w:adjustRightInd w:val="0"/>
        <w:jc w:val="both"/>
        <w:rPr>
          <w:rFonts w:ascii="Arial" w:hAnsi="Arial" w:cs="Arial"/>
          <w:sz w:val="20"/>
          <w:szCs w:val="20"/>
        </w:rPr>
      </w:pPr>
    </w:p>
    <w:tbl>
      <w:tblPr>
        <w:tblStyle w:val="Grilledutableau"/>
        <w:tblW w:w="9243" w:type="dxa"/>
        <w:tblLayout w:type="fixed"/>
        <w:tblLook w:val="04A0" w:firstRow="1" w:lastRow="0" w:firstColumn="1" w:lastColumn="0" w:noHBand="0" w:noVBand="1"/>
      </w:tblPr>
      <w:tblGrid>
        <w:gridCol w:w="1531"/>
        <w:gridCol w:w="964"/>
        <w:gridCol w:w="964"/>
        <w:gridCol w:w="964"/>
        <w:gridCol w:w="964"/>
        <w:gridCol w:w="964"/>
        <w:gridCol w:w="964"/>
        <w:gridCol w:w="964"/>
        <w:gridCol w:w="964"/>
      </w:tblGrid>
      <w:tr w:rsidR="007C502B" w:rsidRPr="00FE5EE8" w14:paraId="2827F381" w14:textId="77777777" w:rsidTr="007C502B">
        <w:tc>
          <w:tcPr>
            <w:tcW w:w="1531" w:type="dxa"/>
          </w:tcPr>
          <w:p w14:paraId="214312EC" w14:textId="77777777" w:rsidR="007C502B" w:rsidRPr="00FE5EE8" w:rsidRDefault="007C502B" w:rsidP="005404D6">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En K€</w:t>
            </w:r>
          </w:p>
        </w:tc>
        <w:tc>
          <w:tcPr>
            <w:tcW w:w="964" w:type="dxa"/>
          </w:tcPr>
          <w:p w14:paraId="25399E22" w14:textId="77777777" w:rsidR="007C502B" w:rsidRPr="00FE5EE8" w:rsidRDefault="007C502B" w:rsidP="005404D6">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 xml:space="preserve">CA </w:t>
            </w:r>
            <w:r w:rsidRPr="00FE5EE8">
              <w:rPr>
                <w:rFonts w:ascii="Arial" w:eastAsia="Times New Roman" w:hAnsi="Arial" w:cs="Arial"/>
                <w:bCs/>
                <w:sz w:val="16"/>
                <w:szCs w:val="16"/>
                <w:lang w:eastAsia="fr-FR"/>
              </w:rPr>
              <w:t>2017</w:t>
            </w:r>
          </w:p>
        </w:tc>
        <w:tc>
          <w:tcPr>
            <w:tcW w:w="964" w:type="dxa"/>
          </w:tcPr>
          <w:p w14:paraId="2E74533F" w14:textId="77777777" w:rsidR="007C502B" w:rsidRPr="00FE5EE8" w:rsidRDefault="007C502B" w:rsidP="005404D6">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2018</w:t>
            </w:r>
          </w:p>
        </w:tc>
        <w:tc>
          <w:tcPr>
            <w:tcW w:w="964" w:type="dxa"/>
          </w:tcPr>
          <w:p w14:paraId="3FAA6A02" w14:textId="77777777" w:rsidR="007C502B" w:rsidRPr="00FE5EE8" w:rsidRDefault="007C502B" w:rsidP="005404D6">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2019</w:t>
            </w:r>
          </w:p>
        </w:tc>
        <w:tc>
          <w:tcPr>
            <w:tcW w:w="964" w:type="dxa"/>
          </w:tcPr>
          <w:p w14:paraId="07B1AB91" w14:textId="77777777" w:rsidR="007C502B" w:rsidRPr="00FE5EE8" w:rsidRDefault="007C502B" w:rsidP="005404D6">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 xml:space="preserve"> </w:t>
            </w:r>
            <w:r w:rsidRPr="00FE5EE8">
              <w:rPr>
                <w:rFonts w:ascii="Arial" w:eastAsia="Times New Roman" w:hAnsi="Arial" w:cs="Arial"/>
                <w:bCs/>
                <w:sz w:val="16"/>
                <w:szCs w:val="16"/>
                <w:lang w:eastAsia="fr-FR"/>
              </w:rPr>
              <w:t>2020</w:t>
            </w:r>
          </w:p>
        </w:tc>
        <w:tc>
          <w:tcPr>
            <w:tcW w:w="964" w:type="dxa"/>
          </w:tcPr>
          <w:p w14:paraId="460F8F2D" w14:textId="77777777" w:rsidR="007C502B" w:rsidRPr="00FE5EE8" w:rsidRDefault="00D22D3E" w:rsidP="005404D6">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 xml:space="preserve">BP </w:t>
            </w:r>
            <w:r w:rsidR="007C502B" w:rsidRPr="00FE5EE8">
              <w:rPr>
                <w:rFonts w:ascii="Arial" w:eastAsia="Times New Roman" w:hAnsi="Arial" w:cs="Arial"/>
                <w:bCs/>
                <w:sz w:val="16"/>
                <w:szCs w:val="16"/>
                <w:lang w:eastAsia="fr-FR"/>
              </w:rPr>
              <w:t>2021</w:t>
            </w:r>
          </w:p>
        </w:tc>
        <w:tc>
          <w:tcPr>
            <w:tcW w:w="964" w:type="dxa"/>
          </w:tcPr>
          <w:p w14:paraId="5DF47F59" w14:textId="77777777" w:rsidR="007C502B" w:rsidRPr="00FE5EE8" w:rsidRDefault="007C502B" w:rsidP="005404D6">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2022</w:t>
            </w:r>
          </w:p>
        </w:tc>
        <w:tc>
          <w:tcPr>
            <w:tcW w:w="964" w:type="dxa"/>
          </w:tcPr>
          <w:p w14:paraId="07C6568C" w14:textId="77777777" w:rsidR="007C502B" w:rsidRPr="00FE5EE8" w:rsidRDefault="007C502B" w:rsidP="005404D6">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2023</w:t>
            </w:r>
          </w:p>
        </w:tc>
        <w:tc>
          <w:tcPr>
            <w:tcW w:w="964" w:type="dxa"/>
          </w:tcPr>
          <w:p w14:paraId="5EF2EAD6" w14:textId="77777777" w:rsidR="007C502B" w:rsidRDefault="007C502B" w:rsidP="005404D6">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2024</w:t>
            </w:r>
          </w:p>
        </w:tc>
      </w:tr>
      <w:tr w:rsidR="00D22D3E" w:rsidRPr="00FE5EE8" w14:paraId="6E797AF4" w14:textId="77777777" w:rsidTr="00BC3E5A">
        <w:tc>
          <w:tcPr>
            <w:tcW w:w="1531" w:type="dxa"/>
          </w:tcPr>
          <w:p w14:paraId="1FB55496" w14:textId="77777777" w:rsidR="00D22D3E" w:rsidRPr="00FE5EE8" w:rsidRDefault="00D22D3E" w:rsidP="005404D6">
            <w:pPr>
              <w:spacing w:before="60" w:after="60"/>
              <w:ind w:right="-103"/>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Atténuation de charges</w:t>
            </w:r>
          </w:p>
        </w:tc>
        <w:tc>
          <w:tcPr>
            <w:tcW w:w="964" w:type="dxa"/>
            <w:vAlign w:val="center"/>
          </w:tcPr>
          <w:p w14:paraId="0A7AC53A" w14:textId="77777777" w:rsidR="00D22D3E" w:rsidRPr="00FE5EE8" w:rsidRDefault="00D22D3E" w:rsidP="008A1AF9">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211</w:t>
            </w:r>
          </w:p>
        </w:tc>
        <w:tc>
          <w:tcPr>
            <w:tcW w:w="964" w:type="dxa"/>
            <w:vAlign w:val="center"/>
          </w:tcPr>
          <w:p w14:paraId="22ED0788" w14:textId="77777777" w:rsidR="00D22D3E" w:rsidRPr="00FE5EE8" w:rsidRDefault="00D22D3E" w:rsidP="008A1AF9">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187</w:t>
            </w:r>
          </w:p>
        </w:tc>
        <w:tc>
          <w:tcPr>
            <w:tcW w:w="964" w:type="dxa"/>
            <w:vAlign w:val="center"/>
          </w:tcPr>
          <w:p w14:paraId="7A46AE7D" w14:textId="77777777" w:rsidR="00D22D3E" w:rsidRPr="00FE5EE8" w:rsidRDefault="00D22D3E"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192</w:t>
            </w:r>
          </w:p>
        </w:tc>
        <w:tc>
          <w:tcPr>
            <w:tcW w:w="964" w:type="dxa"/>
            <w:vAlign w:val="center"/>
          </w:tcPr>
          <w:p w14:paraId="04A0F98F" w14:textId="77777777" w:rsidR="00D22D3E" w:rsidRPr="002E75EA" w:rsidRDefault="00D22D3E"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219</w:t>
            </w:r>
          </w:p>
        </w:tc>
        <w:tc>
          <w:tcPr>
            <w:tcW w:w="964" w:type="dxa"/>
            <w:vAlign w:val="center"/>
          </w:tcPr>
          <w:p w14:paraId="2E929813" w14:textId="77777777" w:rsidR="00D22D3E" w:rsidRPr="00836F65" w:rsidRDefault="00D22D3E" w:rsidP="008A1AF9">
            <w:pPr>
              <w:spacing w:before="60" w:after="60"/>
              <w:jc w:val="right"/>
              <w:outlineLvl w:val="1"/>
              <w:rPr>
                <w:rFonts w:ascii="Arial" w:eastAsia="Times New Roman" w:hAnsi="Arial" w:cs="Arial"/>
                <w:bCs/>
                <w:sz w:val="16"/>
                <w:szCs w:val="16"/>
                <w:lang w:eastAsia="fr-FR"/>
              </w:rPr>
            </w:pPr>
            <w:r w:rsidRPr="00836F65">
              <w:rPr>
                <w:rFonts w:ascii="Arial" w:eastAsia="Times New Roman" w:hAnsi="Arial" w:cs="Arial"/>
                <w:bCs/>
                <w:sz w:val="16"/>
                <w:szCs w:val="16"/>
                <w:lang w:eastAsia="fr-FR"/>
              </w:rPr>
              <w:t>185</w:t>
            </w:r>
          </w:p>
        </w:tc>
        <w:tc>
          <w:tcPr>
            <w:tcW w:w="964" w:type="dxa"/>
            <w:vAlign w:val="center"/>
          </w:tcPr>
          <w:p w14:paraId="48E0E26D" w14:textId="77777777" w:rsidR="00D22D3E" w:rsidRPr="00836F65" w:rsidRDefault="00D22D3E"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705</w:t>
            </w:r>
          </w:p>
        </w:tc>
        <w:tc>
          <w:tcPr>
            <w:tcW w:w="964" w:type="dxa"/>
            <w:vAlign w:val="center"/>
          </w:tcPr>
          <w:p w14:paraId="765B3B0C" w14:textId="77777777" w:rsidR="00D22D3E" w:rsidRPr="00836F65" w:rsidRDefault="00D22D3E" w:rsidP="00836F65">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705</w:t>
            </w:r>
          </w:p>
        </w:tc>
        <w:tc>
          <w:tcPr>
            <w:tcW w:w="964" w:type="dxa"/>
            <w:vAlign w:val="center"/>
          </w:tcPr>
          <w:p w14:paraId="24F53831" w14:textId="77777777" w:rsidR="00D22D3E" w:rsidRPr="00836F65" w:rsidRDefault="00D22D3E" w:rsidP="00BC3E5A">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705</w:t>
            </w:r>
          </w:p>
        </w:tc>
      </w:tr>
      <w:tr w:rsidR="00D22D3E" w:rsidRPr="00FE5EE8" w14:paraId="2CED117F" w14:textId="77777777" w:rsidTr="00BC3E5A">
        <w:tc>
          <w:tcPr>
            <w:tcW w:w="1531" w:type="dxa"/>
          </w:tcPr>
          <w:p w14:paraId="456EC399" w14:textId="77777777" w:rsidR="00D22D3E" w:rsidRPr="00FE5EE8" w:rsidRDefault="00D22D3E" w:rsidP="005404D6">
            <w:pPr>
              <w:spacing w:before="60" w:after="60"/>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Produits des services</w:t>
            </w:r>
          </w:p>
        </w:tc>
        <w:tc>
          <w:tcPr>
            <w:tcW w:w="964" w:type="dxa"/>
            <w:vAlign w:val="center"/>
          </w:tcPr>
          <w:p w14:paraId="4552A038" w14:textId="77777777" w:rsidR="00D22D3E" w:rsidRPr="00FE5EE8" w:rsidRDefault="00D22D3E" w:rsidP="005C175B">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3 401</w:t>
            </w:r>
          </w:p>
        </w:tc>
        <w:tc>
          <w:tcPr>
            <w:tcW w:w="964" w:type="dxa"/>
            <w:vAlign w:val="center"/>
          </w:tcPr>
          <w:p w14:paraId="0DD963CE" w14:textId="77777777" w:rsidR="00D22D3E" w:rsidRPr="00FE5EE8" w:rsidRDefault="00D22D3E" w:rsidP="008A1AF9">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3 191</w:t>
            </w:r>
          </w:p>
        </w:tc>
        <w:tc>
          <w:tcPr>
            <w:tcW w:w="964" w:type="dxa"/>
            <w:vAlign w:val="center"/>
          </w:tcPr>
          <w:p w14:paraId="67D6990B" w14:textId="77777777" w:rsidR="00D22D3E" w:rsidRPr="00FE5EE8" w:rsidRDefault="00D22D3E" w:rsidP="009B23D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3 889</w:t>
            </w:r>
          </w:p>
        </w:tc>
        <w:tc>
          <w:tcPr>
            <w:tcW w:w="964" w:type="dxa"/>
            <w:vAlign w:val="center"/>
          </w:tcPr>
          <w:p w14:paraId="2EBA3894" w14:textId="77777777" w:rsidR="00D22D3E" w:rsidRPr="002E75EA" w:rsidRDefault="00D22D3E"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2 866</w:t>
            </w:r>
          </w:p>
        </w:tc>
        <w:tc>
          <w:tcPr>
            <w:tcW w:w="964" w:type="dxa"/>
            <w:vAlign w:val="center"/>
          </w:tcPr>
          <w:p w14:paraId="391949BA" w14:textId="77777777" w:rsidR="00D22D3E" w:rsidRPr="00836F65" w:rsidRDefault="00D22D3E" w:rsidP="00D22D3E">
            <w:pPr>
              <w:spacing w:before="60" w:after="60"/>
              <w:jc w:val="right"/>
              <w:outlineLvl w:val="1"/>
              <w:rPr>
                <w:rFonts w:ascii="Arial" w:eastAsia="Times New Roman" w:hAnsi="Arial" w:cs="Arial"/>
                <w:bCs/>
                <w:sz w:val="16"/>
                <w:szCs w:val="16"/>
                <w:lang w:eastAsia="fr-FR"/>
              </w:rPr>
            </w:pPr>
            <w:r w:rsidRPr="00836F65">
              <w:rPr>
                <w:rFonts w:ascii="Arial" w:eastAsia="Times New Roman" w:hAnsi="Arial" w:cs="Arial"/>
                <w:bCs/>
                <w:sz w:val="16"/>
                <w:szCs w:val="16"/>
                <w:lang w:eastAsia="fr-FR"/>
              </w:rPr>
              <w:t xml:space="preserve">3 </w:t>
            </w:r>
            <w:r>
              <w:rPr>
                <w:rFonts w:ascii="Arial" w:eastAsia="Times New Roman" w:hAnsi="Arial" w:cs="Arial"/>
                <w:bCs/>
                <w:sz w:val="16"/>
                <w:szCs w:val="16"/>
                <w:lang w:eastAsia="fr-FR"/>
              </w:rPr>
              <w:t>391</w:t>
            </w:r>
          </w:p>
        </w:tc>
        <w:tc>
          <w:tcPr>
            <w:tcW w:w="964" w:type="dxa"/>
            <w:vAlign w:val="center"/>
          </w:tcPr>
          <w:p w14:paraId="1A2E34BF" w14:textId="77777777" w:rsidR="00D22D3E" w:rsidRPr="00836F65" w:rsidRDefault="00D22D3E"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3 570</w:t>
            </w:r>
          </w:p>
        </w:tc>
        <w:tc>
          <w:tcPr>
            <w:tcW w:w="964" w:type="dxa"/>
            <w:vAlign w:val="center"/>
          </w:tcPr>
          <w:p w14:paraId="79AA447F" w14:textId="77777777" w:rsidR="00D22D3E" w:rsidRPr="00836F65" w:rsidRDefault="00D22D3E" w:rsidP="00D22D3E">
            <w:pPr>
              <w:spacing w:before="60" w:after="60"/>
              <w:jc w:val="right"/>
              <w:outlineLvl w:val="1"/>
              <w:rPr>
                <w:rFonts w:ascii="Arial" w:eastAsia="Times New Roman" w:hAnsi="Arial" w:cs="Arial"/>
                <w:bCs/>
                <w:sz w:val="16"/>
                <w:szCs w:val="16"/>
                <w:lang w:eastAsia="fr-FR"/>
              </w:rPr>
            </w:pPr>
            <w:r w:rsidRPr="00836F65">
              <w:rPr>
                <w:rFonts w:ascii="Arial" w:eastAsia="Times New Roman" w:hAnsi="Arial" w:cs="Arial"/>
                <w:bCs/>
                <w:sz w:val="16"/>
                <w:szCs w:val="16"/>
                <w:lang w:eastAsia="fr-FR"/>
              </w:rPr>
              <w:t xml:space="preserve">3 </w:t>
            </w:r>
            <w:r>
              <w:rPr>
                <w:rFonts w:ascii="Arial" w:eastAsia="Times New Roman" w:hAnsi="Arial" w:cs="Arial"/>
                <w:bCs/>
                <w:sz w:val="16"/>
                <w:szCs w:val="16"/>
                <w:lang w:eastAsia="fr-FR"/>
              </w:rPr>
              <w:t>590</w:t>
            </w:r>
          </w:p>
        </w:tc>
        <w:tc>
          <w:tcPr>
            <w:tcW w:w="964" w:type="dxa"/>
            <w:vAlign w:val="center"/>
          </w:tcPr>
          <w:p w14:paraId="1412B66C" w14:textId="77777777" w:rsidR="00D22D3E" w:rsidRPr="00836F65" w:rsidRDefault="00D22D3E" w:rsidP="00BC3E5A">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3 600</w:t>
            </w:r>
          </w:p>
        </w:tc>
      </w:tr>
      <w:tr w:rsidR="00D22D3E" w:rsidRPr="00FE5EE8" w14:paraId="21C4E79A" w14:textId="77777777" w:rsidTr="00BC3E5A">
        <w:tc>
          <w:tcPr>
            <w:tcW w:w="1531" w:type="dxa"/>
          </w:tcPr>
          <w:p w14:paraId="1DC4FAD3" w14:textId="77777777" w:rsidR="00D22D3E" w:rsidRPr="00FE5EE8" w:rsidRDefault="00D22D3E" w:rsidP="005404D6">
            <w:pPr>
              <w:spacing w:before="60" w:after="60"/>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Impôts et taxes</w:t>
            </w:r>
          </w:p>
        </w:tc>
        <w:tc>
          <w:tcPr>
            <w:tcW w:w="964" w:type="dxa"/>
            <w:vAlign w:val="center"/>
          </w:tcPr>
          <w:p w14:paraId="28D72148" w14:textId="77777777" w:rsidR="00D22D3E" w:rsidRPr="00FE5EE8" w:rsidRDefault="00D22D3E" w:rsidP="008A1AF9">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30 605</w:t>
            </w:r>
          </w:p>
        </w:tc>
        <w:tc>
          <w:tcPr>
            <w:tcW w:w="964" w:type="dxa"/>
            <w:vAlign w:val="center"/>
          </w:tcPr>
          <w:p w14:paraId="60249C93" w14:textId="77777777" w:rsidR="00D22D3E" w:rsidRPr="00FE5EE8" w:rsidRDefault="00D22D3E" w:rsidP="008A1AF9">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32 670</w:t>
            </w:r>
          </w:p>
        </w:tc>
        <w:tc>
          <w:tcPr>
            <w:tcW w:w="964" w:type="dxa"/>
            <w:vAlign w:val="center"/>
          </w:tcPr>
          <w:p w14:paraId="77978FF0" w14:textId="77777777" w:rsidR="00D22D3E" w:rsidRPr="00FE5EE8" w:rsidRDefault="00D22D3E"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33 377</w:t>
            </w:r>
          </w:p>
        </w:tc>
        <w:tc>
          <w:tcPr>
            <w:tcW w:w="964" w:type="dxa"/>
            <w:vAlign w:val="center"/>
          </w:tcPr>
          <w:p w14:paraId="0C79D08B" w14:textId="77777777" w:rsidR="00D22D3E" w:rsidRPr="002E75EA" w:rsidRDefault="00D22D3E" w:rsidP="00D22D3E">
            <w:pPr>
              <w:spacing w:before="60" w:after="60"/>
              <w:jc w:val="right"/>
              <w:outlineLvl w:val="1"/>
              <w:rPr>
                <w:rFonts w:ascii="Arial" w:eastAsia="Times New Roman" w:hAnsi="Arial" w:cs="Arial"/>
                <w:bCs/>
                <w:sz w:val="16"/>
                <w:szCs w:val="16"/>
                <w:lang w:eastAsia="fr-FR"/>
              </w:rPr>
            </w:pPr>
            <w:r w:rsidRPr="002E75EA">
              <w:rPr>
                <w:rFonts w:ascii="Arial" w:eastAsia="Times New Roman" w:hAnsi="Arial" w:cs="Arial"/>
                <w:bCs/>
                <w:sz w:val="16"/>
                <w:szCs w:val="16"/>
                <w:lang w:eastAsia="fr-FR"/>
              </w:rPr>
              <w:t xml:space="preserve">33 </w:t>
            </w:r>
            <w:r>
              <w:rPr>
                <w:rFonts w:ascii="Arial" w:eastAsia="Times New Roman" w:hAnsi="Arial" w:cs="Arial"/>
                <w:bCs/>
                <w:sz w:val="16"/>
                <w:szCs w:val="16"/>
                <w:lang w:eastAsia="fr-FR"/>
              </w:rPr>
              <w:t>729</w:t>
            </w:r>
          </w:p>
        </w:tc>
        <w:tc>
          <w:tcPr>
            <w:tcW w:w="964" w:type="dxa"/>
            <w:vAlign w:val="center"/>
          </w:tcPr>
          <w:p w14:paraId="38421CC5" w14:textId="77777777" w:rsidR="00D22D3E" w:rsidRPr="00033482" w:rsidRDefault="00D22D3E" w:rsidP="00D22D3E">
            <w:pPr>
              <w:spacing w:before="60" w:after="60"/>
              <w:jc w:val="right"/>
              <w:outlineLvl w:val="1"/>
              <w:rPr>
                <w:rFonts w:ascii="Arial" w:eastAsia="Times New Roman" w:hAnsi="Arial" w:cs="Arial"/>
                <w:bCs/>
                <w:sz w:val="16"/>
                <w:szCs w:val="16"/>
                <w:lang w:eastAsia="fr-FR"/>
              </w:rPr>
            </w:pPr>
            <w:r w:rsidRPr="00033482">
              <w:rPr>
                <w:rFonts w:ascii="Arial" w:eastAsia="Times New Roman" w:hAnsi="Arial" w:cs="Arial"/>
                <w:bCs/>
                <w:sz w:val="16"/>
                <w:szCs w:val="16"/>
                <w:lang w:eastAsia="fr-FR"/>
              </w:rPr>
              <w:t xml:space="preserve">33 </w:t>
            </w:r>
            <w:r>
              <w:rPr>
                <w:rFonts w:ascii="Arial" w:eastAsia="Times New Roman" w:hAnsi="Arial" w:cs="Arial"/>
                <w:bCs/>
                <w:sz w:val="16"/>
                <w:szCs w:val="16"/>
                <w:lang w:eastAsia="fr-FR"/>
              </w:rPr>
              <w:t>597</w:t>
            </w:r>
          </w:p>
        </w:tc>
        <w:tc>
          <w:tcPr>
            <w:tcW w:w="964" w:type="dxa"/>
            <w:vAlign w:val="center"/>
          </w:tcPr>
          <w:p w14:paraId="5B5674DA" w14:textId="77777777" w:rsidR="00D22D3E" w:rsidRPr="00033482" w:rsidRDefault="00D22D3E"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34 691</w:t>
            </w:r>
          </w:p>
        </w:tc>
        <w:tc>
          <w:tcPr>
            <w:tcW w:w="964" w:type="dxa"/>
            <w:vAlign w:val="center"/>
          </w:tcPr>
          <w:p w14:paraId="1ECDAD62" w14:textId="77777777" w:rsidR="00D22D3E" w:rsidRPr="00033482" w:rsidRDefault="00D22D3E" w:rsidP="00836F65">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34 940</w:t>
            </w:r>
          </w:p>
        </w:tc>
        <w:tc>
          <w:tcPr>
            <w:tcW w:w="964" w:type="dxa"/>
            <w:vAlign w:val="center"/>
          </w:tcPr>
          <w:p w14:paraId="53814871" w14:textId="77777777" w:rsidR="00D22D3E" w:rsidRPr="00033482" w:rsidRDefault="00D22D3E" w:rsidP="00BC3E5A">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35 150</w:t>
            </w:r>
          </w:p>
        </w:tc>
      </w:tr>
      <w:tr w:rsidR="00D22D3E" w:rsidRPr="00FE5EE8" w14:paraId="0035A3DF" w14:textId="77777777" w:rsidTr="00BC3E5A">
        <w:tc>
          <w:tcPr>
            <w:tcW w:w="1531" w:type="dxa"/>
          </w:tcPr>
          <w:p w14:paraId="19F5BC8A" w14:textId="77777777" w:rsidR="00D22D3E" w:rsidRPr="00FE5EE8" w:rsidRDefault="00D22D3E" w:rsidP="001B34B3">
            <w:pPr>
              <w:spacing w:before="60" w:after="60"/>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Dotations et participations</w:t>
            </w:r>
          </w:p>
        </w:tc>
        <w:tc>
          <w:tcPr>
            <w:tcW w:w="964" w:type="dxa"/>
            <w:vAlign w:val="center"/>
          </w:tcPr>
          <w:p w14:paraId="034EB974" w14:textId="77777777" w:rsidR="00D22D3E" w:rsidRPr="00FE5EE8" w:rsidRDefault="00D22D3E" w:rsidP="008A1AF9">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7 010</w:t>
            </w:r>
          </w:p>
        </w:tc>
        <w:tc>
          <w:tcPr>
            <w:tcW w:w="964" w:type="dxa"/>
            <w:vAlign w:val="center"/>
          </w:tcPr>
          <w:p w14:paraId="7E2D36E8" w14:textId="77777777" w:rsidR="00D22D3E" w:rsidRPr="00FE5EE8" w:rsidRDefault="00D22D3E" w:rsidP="008A1AF9">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7 006</w:t>
            </w:r>
          </w:p>
        </w:tc>
        <w:tc>
          <w:tcPr>
            <w:tcW w:w="964" w:type="dxa"/>
            <w:vAlign w:val="center"/>
          </w:tcPr>
          <w:p w14:paraId="27A06316" w14:textId="77777777" w:rsidR="00D22D3E" w:rsidRPr="00FE5EE8" w:rsidRDefault="00D22D3E" w:rsidP="0081306D">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 xml:space="preserve">6 </w:t>
            </w:r>
            <w:r>
              <w:rPr>
                <w:rFonts w:ascii="Arial" w:eastAsia="Times New Roman" w:hAnsi="Arial" w:cs="Arial"/>
                <w:bCs/>
                <w:sz w:val="16"/>
                <w:szCs w:val="16"/>
                <w:lang w:eastAsia="fr-FR"/>
              </w:rPr>
              <w:t>956</w:t>
            </w:r>
          </w:p>
        </w:tc>
        <w:tc>
          <w:tcPr>
            <w:tcW w:w="964" w:type="dxa"/>
            <w:vAlign w:val="center"/>
          </w:tcPr>
          <w:p w14:paraId="4F0616B0" w14:textId="77777777" w:rsidR="00D22D3E" w:rsidRPr="002E75EA" w:rsidRDefault="00D22D3E" w:rsidP="000201F2">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7 263</w:t>
            </w:r>
          </w:p>
        </w:tc>
        <w:tc>
          <w:tcPr>
            <w:tcW w:w="964" w:type="dxa"/>
            <w:vAlign w:val="center"/>
          </w:tcPr>
          <w:p w14:paraId="37A133A8" w14:textId="77777777" w:rsidR="00D22D3E" w:rsidRPr="00033482" w:rsidRDefault="00D22D3E" w:rsidP="00D22D3E">
            <w:pPr>
              <w:spacing w:before="60" w:after="60"/>
              <w:jc w:val="right"/>
              <w:outlineLvl w:val="1"/>
              <w:rPr>
                <w:rFonts w:ascii="Arial" w:eastAsia="Times New Roman" w:hAnsi="Arial" w:cs="Arial"/>
                <w:bCs/>
                <w:sz w:val="16"/>
                <w:szCs w:val="16"/>
                <w:lang w:eastAsia="fr-FR"/>
              </w:rPr>
            </w:pPr>
            <w:r w:rsidRPr="00033482">
              <w:rPr>
                <w:rFonts w:ascii="Arial" w:eastAsia="Times New Roman" w:hAnsi="Arial" w:cs="Arial"/>
                <w:bCs/>
                <w:sz w:val="16"/>
                <w:szCs w:val="16"/>
                <w:lang w:eastAsia="fr-FR"/>
              </w:rPr>
              <w:t xml:space="preserve">6 </w:t>
            </w:r>
            <w:r>
              <w:rPr>
                <w:rFonts w:ascii="Arial" w:eastAsia="Times New Roman" w:hAnsi="Arial" w:cs="Arial"/>
                <w:bCs/>
                <w:sz w:val="16"/>
                <w:szCs w:val="16"/>
                <w:lang w:eastAsia="fr-FR"/>
              </w:rPr>
              <w:t>482</w:t>
            </w:r>
          </w:p>
        </w:tc>
        <w:tc>
          <w:tcPr>
            <w:tcW w:w="964" w:type="dxa"/>
            <w:vAlign w:val="center"/>
          </w:tcPr>
          <w:p w14:paraId="3E478614" w14:textId="77777777" w:rsidR="00D22D3E" w:rsidRPr="00033482" w:rsidRDefault="00D22D3E"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6 381</w:t>
            </w:r>
          </w:p>
        </w:tc>
        <w:tc>
          <w:tcPr>
            <w:tcW w:w="964" w:type="dxa"/>
            <w:vAlign w:val="center"/>
          </w:tcPr>
          <w:p w14:paraId="58EF8322" w14:textId="77777777" w:rsidR="00D22D3E" w:rsidRPr="00FE5EE8" w:rsidRDefault="00D22D3E" w:rsidP="00836F65">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6 455</w:t>
            </w:r>
          </w:p>
        </w:tc>
        <w:tc>
          <w:tcPr>
            <w:tcW w:w="964" w:type="dxa"/>
            <w:vAlign w:val="center"/>
          </w:tcPr>
          <w:p w14:paraId="77868F55" w14:textId="77777777" w:rsidR="00D22D3E" w:rsidRPr="00FE5EE8" w:rsidRDefault="00D22D3E" w:rsidP="00BC3E5A">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6 515</w:t>
            </w:r>
          </w:p>
        </w:tc>
      </w:tr>
      <w:tr w:rsidR="00D22D3E" w:rsidRPr="00FE5EE8" w14:paraId="4E5477AF" w14:textId="77777777" w:rsidTr="00BC3E5A">
        <w:tc>
          <w:tcPr>
            <w:tcW w:w="1531" w:type="dxa"/>
          </w:tcPr>
          <w:p w14:paraId="24DC5C62" w14:textId="77777777" w:rsidR="00D22D3E" w:rsidRPr="00FE5EE8" w:rsidRDefault="00D22D3E" w:rsidP="001B34B3">
            <w:pPr>
              <w:spacing w:before="60" w:after="60"/>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Produits de gestion courante</w:t>
            </w:r>
          </w:p>
        </w:tc>
        <w:tc>
          <w:tcPr>
            <w:tcW w:w="964" w:type="dxa"/>
            <w:vAlign w:val="center"/>
          </w:tcPr>
          <w:p w14:paraId="34D0E230" w14:textId="77777777" w:rsidR="00D22D3E" w:rsidRPr="00FE5EE8" w:rsidRDefault="00D22D3E" w:rsidP="008A1AF9">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763</w:t>
            </w:r>
          </w:p>
        </w:tc>
        <w:tc>
          <w:tcPr>
            <w:tcW w:w="964" w:type="dxa"/>
            <w:vAlign w:val="center"/>
          </w:tcPr>
          <w:p w14:paraId="4C821158" w14:textId="77777777" w:rsidR="00D22D3E" w:rsidRPr="00FE5EE8" w:rsidRDefault="00D22D3E" w:rsidP="008A1AF9">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795</w:t>
            </w:r>
          </w:p>
        </w:tc>
        <w:tc>
          <w:tcPr>
            <w:tcW w:w="964" w:type="dxa"/>
            <w:vAlign w:val="center"/>
          </w:tcPr>
          <w:p w14:paraId="34E048DE" w14:textId="77777777" w:rsidR="00D22D3E" w:rsidRPr="00FE5EE8" w:rsidRDefault="00D22D3E"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802</w:t>
            </w:r>
          </w:p>
        </w:tc>
        <w:tc>
          <w:tcPr>
            <w:tcW w:w="964" w:type="dxa"/>
            <w:vAlign w:val="center"/>
          </w:tcPr>
          <w:p w14:paraId="1B5835B5" w14:textId="77777777" w:rsidR="00D22D3E" w:rsidRPr="002E75EA" w:rsidRDefault="00D22D3E"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815</w:t>
            </w:r>
          </w:p>
        </w:tc>
        <w:tc>
          <w:tcPr>
            <w:tcW w:w="964" w:type="dxa"/>
            <w:vAlign w:val="center"/>
          </w:tcPr>
          <w:p w14:paraId="2211180E" w14:textId="77777777" w:rsidR="00D22D3E" w:rsidRPr="00033482" w:rsidRDefault="00D22D3E" w:rsidP="008A1AF9">
            <w:pPr>
              <w:spacing w:before="60" w:after="60"/>
              <w:jc w:val="right"/>
              <w:outlineLvl w:val="1"/>
              <w:rPr>
                <w:rFonts w:ascii="Arial" w:eastAsia="Times New Roman" w:hAnsi="Arial" w:cs="Arial"/>
                <w:bCs/>
                <w:sz w:val="16"/>
                <w:szCs w:val="16"/>
                <w:lang w:eastAsia="fr-FR"/>
              </w:rPr>
            </w:pPr>
            <w:r w:rsidRPr="00033482">
              <w:rPr>
                <w:rFonts w:ascii="Arial" w:eastAsia="Times New Roman" w:hAnsi="Arial" w:cs="Arial"/>
                <w:bCs/>
                <w:sz w:val="16"/>
                <w:szCs w:val="16"/>
                <w:lang w:eastAsia="fr-FR"/>
              </w:rPr>
              <w:t>718</w:t>
            </w:r>
          </w:p>
        </w:tc>
        <w:tc>
          <w:tcPr>
            <w:tcW w:w="964" w:type="dxa"/>
            <w:vAlign w:val="center"/>
          </w:tcPr>
          <w:p w14:paraId="04D48684" w14:textId="77777777" w:rsidR="00D22D3E" w:rsidRPr="00033482" w:rsidRDefault="00D22D3E"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641</w:t>
            </w:r>
          </w:p>
        </w:tc>
        <w:tc>
          <w:tcPr>
            <w:tcW w:w="964" w:type="dxa"/>
            <w:vAlign w:val="center"/>
          </w:tcPr>
          <w:p w14:paraId="6839169F" w14:textId="77777777" w:rsidR="00D22D3E" w:rsidRPr="00FE5EE8" w:rsidRDefault="00D22D3E" w:rsidP="00836F65">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650</w:t>
            </w:r>
          </w:p>
        </w:tc>
        <w:tc>
          <w:tcPr>
            <w:tcW w:w="964" w:type="dxa"/>
            <w:vAlign w:val="center"/>
          </w:tcPr>
          <w:p w14:paraId="7125B317" w14:textId="77777777" w:rsidR="00D22D3E" w:rsidRPr="00FE5EE8" w:rsidRDefault="00D22D3E" w:rsidP="00BC3E5A">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670</w:t>
            </w:r>
          </w:p>
        </w:tc>
      </w:tr>
      <w:tr w:rsidR="00D22D3E" w:rsidRPr="00FE5EE8" w14:paraId="015C8B72" w14:textId="77777777" w:rsidTr="00BC3E5A">
        <w:tc>
          <w:tcPr>
            <w:tcW w:w="1531" w:type="dxa"/>
          </w:tcPr>
          <w:p w14:paraId="19805802" w14:textId="77777777" w:rsidR="00D22D3E" w:rsidRPr="00FE5EE8" w:rsidRDefault="00D22D3E" w:rsidP="005404D6">
            <w:pPr>
              <w:spacing w:before="60" w:after="60"/>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Autres produits</w:t>
            </w:r>
          </w:p>
        </w:tc>
        <w:tc>
          <w:tcPr>
            <w:tcW w:w="964" w:type="dxa"/>
            <w:vAlign w:val="center"/>
          </w:tcPr>
          <w:p w14:paraId="6BBCF9A0" w14:textId="77777777" w:rsidR="00D22D3E" w:rsidRPr="00FE5EE8" w:rsidRDefault="00D22D3E" w:rsidP="004B6D15">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4 925</w:t>
            </w:r>
          </w:p>
        </w:tc>
        <w:tc>
          <w:tcPr>
            <w:tcW w:w="964" w:type="dxa"/>
            <w:vAlign w:val="center"/>
          </w:tcPr>
          <w:p w14:paraId="4BC1521B" w14:textId="77777777" w:rsidR="00D22D3E" w:rsidRPr="00FE5EE8" w:rsidRDefault="00D22D3E" w:rsidP="008A1AF9">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158</w:t>
            </w:r>
          </w:p>
        </w:tc>
        <w:tc>
          <w:tcPr>
            <w:tcW w:w="964" w:type="dxa"/>
            <w:vAlign w:val="center"/>
          </w:tcPr>
          <w:p w14:paraId="5277ADB3" w14:textId="77777777" w:rsidR="00D22D3E" w:rsidRPr="00FE5EE8" w:rsidRDefault="00D22D3E"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63</w:t>
            </w:r>
          </w:p>
        </w:tc>
        <w:tc>
          <w:tcPr>
            <w:tcW w:w="964" w:type="dxa"/>
            <w:vAlign w:val="center"/>
          </w:tcPr>
          <w:p w14:paraId="544F8857" w14:textId="77777777" w:rsidR="00D22D3E" w:rsidRPr="002E75EA" w:rsidRDefault="00D22D3E"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8</w:t>
            </w:r>
          </w:p>
        </w:tc>
        <w:tc>
          <w:tcPr>
            <w:tcW w:w="964" w:type="dxa"/>
            <w:vAlign w:val="center"/>
          </w:tcPr>
          <w:p w14:paraId="0A2E430E" w14:textId="77777777" w:rsidR="00D22D3E" w:rsidRPr="00033482" w:rsidRDefault="00D22D3E"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w:t>
            </w:r>
          </w:p>
        </w:tc>
        <w:tc>
          <w:tcPr>
            <w:tcW w:w="964" w:type="dxa"/>
            <w:vAlign w:val="center"/>
          </w:tcPr>
          <w:p w14:paraId="2BCF3492" w14:textId="77777777" w:rsidR="00D22D3E" w:rsidRPr="00033482" w:rsidRDefault="00D22D3E" w:rsidP="008A1AF9">
            <w:pPr>
              <w:spacing w:before="60" w:after="60"/>
              <w:jc w:val="right"/>
              <w:outlineLvl w:val="1"/>
              <w:rPr>
                <w:rFonts w:ascii="Arial" w:eastAsia="Times New Roman" w:hAnsi="Arial" w:cs="Arial"/>
                <w:bCs/>
                <w:sz w:val="16"/>
                <w:szCs w:val="16"/>
                <w:lang w:eastAsia="fr-FR"/>
              </w:rPr>
            </w:pPr>
            <w:r w:rsidRPr="00033482">
              <w:rPr>
                <w:rFonts w:ascii="Arial" w:eastAsia="Times New Roman" w:hAnsi="Arial" w:cs="Arial"/>
                <w:bCs/>
                <w:sz w:val="16"/>
                <w:szCs w:val="16"/>
                <w:lang w:eastAsia="fr-FR"/>
              </w:rPr>
              <w:t>0</w:t>
            </w:r>
          </w:p>
        </w:tc>
        <w:tc>
          <w:tcPr>
            <w:tcW w:w="964" w:type="dxa"/>
            <w:vAlign w:val="center"/>
          </w:tcPr>
          <w:p w14:paraId="47209FA1" w14:textId="77777777" w:rsidR="00D22D3E" w:rsidRPr="00FE5EE8" w:rsidRDefault="00D22D3E" w:rsidP="00836F65">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0</w:t>
            </w:r>
          </w:p>
        </w:tc>
        <w:tc>
          <w:tcPr>
            <w:tcW w:w="964" w:type="dxa"/>
            <w:vAlign w:val="center"/>
          </w:tcPr>
          <w:p w14:paraId="4998AE1E" w14:textId="77777777" w:rsidR="00D22D3E" w:rsidRPr="00FE5EE8" w:rsidRDefault="00D22D3E" w:rsidP="00BC3E5A">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0</w:t>
            </w:r>
          </w:p>
        </w:tc>
      </w:tr>
      <w:tr w:rsidR="00D22D3E" w:rsidRPr="00FE5EE8" w14:paraId="3CEF0A7A" w14:textId="77777777" w:rsidTr="00BC3E5A">
        <w:tc>
          <w:tcPr>
            <w:tcW w:w="1531" w:type="dxa"/>
          </w:tcPr>
          <w:p w14:paraId="565E4005" w14:textId="77777777" w:rsidR="00D22D3E" w:rsidRPr="00FE5EE8" w:rsidRDefault="00D22D3E" w:rsidP="008A1AF9">
            <w:pPr>
              <w:spacing w:before="60" w:after="60"/>
              <w:ind w:right="-103"/>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Recettes réelles de fonctionnement</w:t>
            </w:r>
          </w:p>
        </w:tc>
        <w:tc>
          <w:tcPr>
            <w:tcW w:w="964" w:type="dxa"/>
            <w:vAlign w:val="center"/>
          </w:tcPr>
          <w:p w14:paraId="78CAF514" w14:textId="77777777" w:rsidR="00D22D3E" w:rsidRPr="00FE5EE8" w:rsidRDefault="00D22D3E" w:rsidP="008A1AF9">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46 915</w:t>
            </w:r>
          </w:p>
        </w:tc>
        <w:tc>
          <w:tcPr>
            <w:tcW w:w="964" w:type="dxa"/>
            <w:vAlign w:val="center"/>
          </w:tcPr>
          <w:p w14:paraId="1D28EFD6" w14:textId="77777777" w:rsidR="00D22D3E" w:rsidRPr="00FE5EE8" w:rsidRDefault="00D22D3E" w:rsidP="008A1AF9">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44 007</w:t>
            </w:r>
          </w:p>
        </w:tc>
        <w:tc>
          <w:tcPr>
            <w:tcW w:w="964" w:type="dxa"/>
            <w:vAlign w:val="center"/>
          </w:tcPr>
          <w:p w14:paraId="4685AA0D" w14:textId="77777777" w:rsidR="00D22D3E" w:rsidRPr="00FE5EE8" w:rsidRDefault="00D22D3E"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45 279</w:t>
            </w:r>
          </w:p>
        </w:tc>
        <w:tc>
          <w:tcPr>
            <w:tcW w:w="964" w:type="dxa"/>
            <w:vAlign w:val="center"/>
          </w:tcPr>
          <w:p w14:paraId="10D98F3D" w14:textId="77777777" w:rsidR="00D22D3E" w:rsidRPr="002E75EA" w:rsidRDefault="00D22D3E" w:rsidP="00D22D3E">
            <w:pPr>
              <w:spacing w:before="60" w:after="60"/>
              <w:jc w:val="right"/>
              <w:outlineLvl w:val="1"/>
              <w:rPr>
                <w:rFonts w:ascii="Arial" w:eastAsia="Times New Roman" w:hAnsi="Arial" w:cs="Arial"/>
                <w:bCs/>
                <w:sz w:val="16"/>
                <w:szCs w:val="16"/>
                <w:lang w:eastAsia="fr-FR"/>
              </w:rPr>
            </w:pPr>
            <w:r w:rsidRPr="002E75EA">
              <w:rPr>
                <w:rFonts w:ascii="Arial" w:eastAsia="Times New Roman" w:hAnsi="Arial" w:cs="Arial"/>
                <w:bCs/>
                <w:sz w:val="16"/>
                <w:szCs w:val="16"/>
                <w:lang w:eastAsia="fr-FR"/>
              </w:rPr>
              <w:t xml:space="preserve">44 </w:t>
            </w:r>
            <w:r>
              <w:rPr>
                <w:rFonts w:ascii="Arial" w:eastAsia="Times New Roman" w:hAnsi="Arial" w:cs="Arial"/>
                <w:bCs/>
                <w:sz w:val="16"/>
                <w:szCs w:val="16"/>
                <w:lang w:eastAsia="fr-FR"/>
              </w:rPr>
              <w:t>899</w:t>
            </w:r>
          </w:p>
        </w:tc>
        <w:tc>
          <w:tcPr>
            <w:tcW w:w="964" w:type="dxa"/>
            <w:vAlign w:val="center"/>
          </w:tcPr>
          <w:p w14:paraId="0558DAD3" w14:textId="77777777" w:rsidR="00D22D3E" w:rsidRPr="00033482" w:rsidRDefault="00D22D3E" w:rsidP="00D22D3E">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44 374</w:t>
            </w:r>
          </w:p>
        </w:tc>
        <w:tc>
          <w:tcPr>
            <w:tcW w:w="964" w:type="dxa"/>
            <w:vAlign w:val="center"/>
          </w:tcPr>
          <w:p w14:paraId="3CCF84F4" w14:textId="77777777" w:rsidR="00D22D3E" w:rsidRPr="00033482" w:rsidRDefault="00D22D3E" w:rsidP="00033482">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45 988</w:t>
            </w:r>
          </w:p>
        </w:tc>
        <w:tc>
          <w:tcPr>
            <w:tcW w:w="964" w:type="dxa"/>
            <w:vAlign w:val="center"/>
          </w:tcPr>
          <w:p w14:paraId="002C563E" w14:textId="77777777" w:rsidR="00D22D3E" w:rsidRPr="00FE5EE8" w:rsidRDefault="00D22D3E" w:rsidP="00836F65">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46 340</w:t>
            </w:r>
          </w:p>
        </w:tc>
        <w:tc>
          <w:tcPr>
            <w:tcW w:w="964" w:type="dxa"/>
            <w:vAlign w:val="center"/>
          </w:tcPr>
          <w:p w14:paraId="3FF53495" w14:textId="77777777" w:rsidR="00D22D3E" w:rsidRPr="00FE5EE8" w:rsidRDefault="00D22D3E" w:rsidP="00BC3E5A">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46 640</w:t>
            </w:r>
          </w:p>
        </w:tc>
      </w:tr>
    </w:tbl>
    <w:p w14:paraId="3971C416" w14:textId="77777777" w:rsidR="00B71B1B" w:rsidRPr="00FE5EE8" w:rsidRDefault="00B71B1B" w:rsidP="00B71B1B">
      <w:pPr>
        <w:autoSpaceDE w:val="0"/>
        <w:autoSpaceDN w:val="0"/>
        <w:adjustRightInd w:val="0"/>
        <w:jc w:val="both"/>
        <w:rPr>
          <w:rFonts w:ascii="Arial" w:hAnsi="Arial" w:cs="Arial"/>
          <w:color w:val="000000"/>
          <w:sz w:val="20"/>
          <w:szCs w:val="20"/>
        </w:rPr>
      </w:pPr>
    </w:p>
    <w:p w14:paraId="5C7C4AB2" w14:textId="77777777" w:rsidR="008A1AF9" w:rsidRPr="00FE5EE8" w:rsidRDefault="00865160" w:rsidP="00865160">
      <w:pPr>
        <w:spacing w:before="100" w:beforeAutospacing="1" w:after="100" w:afterAutospacing="1" w:line="240" w:lineRule="auto"/>
        <w:outlineLvl w:val="1"/>
        <w:rPr>
          <w:rFonts w:ascii="Arial" w:eastAsia="Times New Roman" w:hAnsi="Arial" w:cs="Arial"/>
          <w:b/>
          <w:bCs/>
          <w:sz w:val="20"/>
          <w:szCs w:val="20"/>
          <w:lang w:eastAsia="fr-FR"/>
        </w:rPr>
      </w:pPr>
      <w:r w:rsidRPr="00FE5EE8">
        <w:rPr>
          <w:rFonts w:ascii="Arial" w:eastAsia="Times New Roman" w:hAnsi="Arial" w:cs="Arial"/>
          <w:b/>
          <w:bCs/>
          <w:sz w:val="20"/>
          <w:szCs w:val="20"/>
          <w:lang w:eastAsia="fr-FR"/>
        </w:rPr>
        <w:t>3.2 – Les dépenses de fonctionnement</w:t>
      </w:r>
    </w:p>
    <w:p w14:paraId="274A6C2D" w14:textId="77777777" w:rsidR="001C29C7" w:rsidRPr="00FE5EE8" w:rsidRDefault="001C29C7" w:rsidP="001C29C7">
      <w:pPr>
        <w:spacing w:after="0" w:line="240" w:lineRule="auto"/>
        <w:outlineLvl w:val="1"/>
        <w:rPr>
          <w:rFonts w:ascii="Arial" w:eastAsia="Times New Roman" w:hAnsi="Arial" w:cs="Arial"/>
          <w:b/>
          <w:bCs/>
          <w:sz w:val="20"/>
          <w:szCs w:val="20"/>
          <w:lang w:eastAsia="fr-FR"/>
        </w:rPr>
      </w:pPr>
    </w:p>
    <w:tbl>
      <w:tblPr>
        <w:tblStyle w:val="Grilledutableau"/>
        <w:tblW w:w="0" w:type="auto"/>
        <w:tblLayout w:type="fixed"/>
        <w:tblLook w:val="04A0" w:firstRow="1" w:lastRow="0" w:firstColumn="1" w:lastColumn="0" w:noHBand="0" w:noVBand="1"/>
      </w:tblPr>
      <w:tblGrid>
        <w:gridCol w:w="1531"/>
        <w:gridCol w:w="964"/>
        <w:gridCol w:w="964"/>
        <w:gridCol w:w="964"/>
        <w:gridCol w:w="964"/>
        <w:gridCol w:w="964"/>
        <w:gridCol w:w="964"/>
        <w:gridCol w:w="964"/>
        <w:gridCol w:w="964"/>
      </w:tblGrid>
      <w:tr w:rsidR="007C502B" w:rsidRPr="00FE5EE8" w14:paraId="75E5FDE4" w14:textId="77777777" w:rsidTr="00C8696D">
        <w:tc>
          <w:tcPr>
            <w:tcW w:w="1531" w:type="dxa"/>
          </w:tcPr>
          <w:p w14:paraId="6D24C832" w14:textId="77777777" w:rsidR="007C502B" w:rsidRPr="00FE5EE8" w:rsidRDefault="007C502B" w:rsidP="001B34B3">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En K€</w:t>
            </w:r>
          </w:p>
        </w:tc>
        <w:tc>
          <w:tcPr>
            <w:tcW w:w="964" w:type="dxa"/>
          </w:tcPr>
          <w:p w14:paraId="37211BCD" w14:textId="77777777" w:rsidR="007C502B" w:rsidRPr="00FE5EE8" w:rsidRDefault="007C502B" w:rsidP="001B34B3">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 xml:space="preserve">CA </w:t>
            </w:r>
            <w:r w:rsidRPr="00FE5EE8">
              <w:rPr>
                <w:rFonts w:ascii="Arial" w:eastAsia="Times New Roman" w:hAnsi="Arial" w:cs="Arial"/>
                <w:bCs/>
                <w:sz w:val="16"/>
                <w:szCs w:val="16"/>
                <w:lang w:eastAsia="fr-FR"/>
              </w:rPr>
              <w:t>2017</w:t>
            </w:r>
          </w:p>
        </w:tc>
        <w:tc>
          <w:tcPr>
            <w:tcW w:w="964" w:type="dxa"/>
          </w:tcPr>
          <w:p w14:paraId="0C346835" w14:textId="77777777" w:rsidR="007C502B" w:rsidRPr="00FE5EE8" w:rsidRDefault="007C502B" w:rsidP="001B34B3">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2018</w:t>
            </w:r>
          </w:p>
        </w:tc>
        <w:tc>
          <w:tcPr>
            <w:tcW w:w="964" w:type="dxa"/>
          </w:tcPr>
          <w:p w14:paraId="518E7FD6" w14:textId="77777777" w:rsidR="007C502B" w:rsidRPr="00FE5EE8" w:rsidRDefault="007C502B" w:rsidP="001B34B3">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2019</w:t>
            </w:r>
          </w:p>
        </w:tc>
        <w:tc>
          <w:tcPr>
            <w:tcW w:w="964" w:type="dxa"/>
          </w:tcPr>
          <w:p w14:paraId="62CB12A0" w14:textId="77777777" w:rsidR="007C502B" w:rsidRPr="00FE5EE8" w:rsidRDefault="007C502B" w:rsidP="001B34B3">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2020</w:t>
            </w:r>
          </w:p>
        </w:tc>
        <w:tc>
          <w:tcPr>
            <w:tcW w:w="964" w:type="dxa"/>
          </w:tcPr>
          <w:p w14:paraId="239674D2" w14:textId="77777777" w:rsidR="007C502B" w:rsidRPr="00FE5EE8" w:rsidRDefault="00D22D3E" w:rsidP="001B34B3">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 xml:space="preserve">BP </w:t>
            </w:r>
            <w:r w:rsidR="007C502B" w:rsidRPr="00FE5EE8">
              <w:rPr>
                <w:rFonts w:ascii="Arial" w:eastAsia="Times New Roman" w:hAnsi="Arial" w:cs="Arial"/>
                <w:bCs/>
                <w:sz w:val="16"/>
                <w:szCs w:val="16"/>
                <w:lang w:eastAsia="fr-FR"/>
              </w:rPr>
              <w:t>2021</w:t>
            </w:r>
          </w:p>
        </w:tc>
        <w:tc>
          <w:tcPr>
            <w:tcW w:w="964" w:type="dxa"/>
          </w:tcPr>
          <w:p w14:paraId="5E0C56F5" w14:textId="77777777" w:rsidR="007C502B" w:rsidRPr="00FE5EE8" w:rsidRDefault="007C502B" w:rsidP="001B34B3">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2022</w:t>
            </w:r>
          </w:p>
        </w:tc>
        <w:tc>
          <w:tcPr>
            <w:tcW w:w="964" w:type="dxa"/>
          </w:tcPr>
          <w:p w14:paraId="1A70D776" w14:textId="77777777" w:rsidR="007C502B" w:rsidRPr="00FE5EE8" w:rsidRDefault="007C502B" w:rsidP="001B34B3">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2023</w:t>
            </w:r>
          </w:p>
        </w:tc>
        <w:tc>
          <w:tcPr>
            <w:tcW w:w="964" w:type="dxa"/>
          </w:tcPr>
          <w:p w14:paraId="76069744" w14:textId="77777777" w:rsidR="007C502B" w:rsidRDefault="007C502B" w:rsidP="001B34B3">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2024</w:t>
            </w:r>
          </w:p>
        </w:tc>
      </w:tr>
      <w:tr w:rsidR="006D4A72" w:rsidRPr="00FE5EE8" w14:paraId="74E646A4" w14:textId="77777777" w:rsidTr="00F53A17">
        <w:tc>
          <w:tcPr>
            <w:tcW w:w="1531" w:type="dxa"/>
          </w:tcPr>
          <w:p w14:paraId="134A0D24" w14:textId="77777777" w:rsidR="006D4A72" w:rsidRPr="00FE5EE8" w:rsidRDefault="006D4A72" w:rsidP="001B34B3">
            <w:pPr>
              <w:spacing w:before="60" w:after="60"/>
              <w:ind w:right="-103"/>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Charges à caractère général</w:t>
            </w:r>
          </w:p>
        </w:tc>
        <w:tc>
          <w:tcPr>
            <w:tcW w:w="964" w:type="dxa"/>
            <w:vAlign w:val="center"/>
          </w:tcPr>
          <w:p w14:paraId="1AE6D48E" w14:textId="77777777" w:rsidR="006D4A72" w:rsidRPr="00FE5EE8" w:rsidRDefault="006D4A72" w:rsidP="008A1AF9">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5 767</w:t>
            </w:r>
          </w:p>
        </w:tc>
        <w:tc>
          <w:tcPr>
            <w:tcW w:w="964" w:type="dxa"/>
            <w:vAlign w:val="center"/>
          </w:tcPr>
          <w:p w14:paraId="24750116" w14:textId="77777777" w:rsidR="006D4A72" w:rsidRPr="00FE5EE8" w:rsidRDefault="006D4A72" w:rsidP="008A1AF9">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5 527</w:t>
            </w:r>
          </w:p>
        </w:tc>
        <w:tc>
          <w:tcPr>
            <w:tcW w:w="964" w:type="dxa"/>
            <w:vAlign w:val="center"/>
          </w:tcPr>
          <w:p w14:paraId="37B776FE" w14:textId="77777777" w:rsidR="006D4A72" w:rsidRPr="00FE5EE8" w:rsidRDefault="006D4A72"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5 587</w:t>
            </w:r>
          </w:p>
        </w:tc>
        <w:tc>
          <w:tcPr>
            <w:tcW w:w="964" w:type="dxa"/>
            <w:vAlign w:val="center"/>
          </w:tcPr>
          <w:p w14:paraId="145CCB7D" w14:textId="77777777" w:rsidR="006D4A72" w:rsidRPr="00FE5EE8" w:rsidRDefault="006D4A72" w:rsidP="0097076B">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4 728</w:t>
            </w:r>
          </w:p>
        </w:tc>
        <w:tc>
          <w:tcPr>
            <w:tcW w:w="964" w:type="dxa"/>
            <w:vAlign w:val="center"/>
          </w:tcPr>
          <w:p w14:paraId="46F72C63" w14:textId="77777777" w:rsidR="006D4A72" w:rsidRPr="004F37BA" w:rsidRDefault="006D4A72" w:rsidP="00913410">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6 736</w:t>
            </w:r>
          </w:p>
        </w:tc>
        <w:tc>
          <w:tcPr>
            <w:tcW w:w="964" w:type="dxa"/>
            <w:vAlign w:val="center"/>
          </w:tcPr>
          <w:p w14:paraId="136EB1BA" w14:textId="77777777" w:rsidR="006D4A72" w:rsidRPr="004F37BA" w:rsidRDefault="006D4A72"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6 454</w:t>
            </w:r>
          </w:p>
        </w:tc>
        <w:tc>
          <w:tcPr>
            <w:tcW w:w="964" w:type="dxa"/>
            <w:vAlign w:val="center"/>
          </w:tcPr>
          <w:p w14:paraId="18A4E54B" w14:textId="77777777" w:rsidR="006D4A72" w:rsidRPr="004F37BA" w:rsidRDefault="006D4A72" w:rsidP="00913410">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6 583</w:t>
            </w:r>
          </w:p>
        </w:tc>
        <w:tc>
          <w:tcPr>
            <w:tcW w:w="964" w:type="dxa"/>
            <w:vAlign w:val="center"/>
          </w:tcPr>
          <w:p w14:paraId="08FD34FB" w14:textId="77777777" w:rsidR="006D4A72" w:rsidRPr="004F37BA" w:rsidRDefault="006D4A72" w:rsidP="00F53A17">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6 715</w:t>
            </w:r>
          </w:p>
        </w:tc>
      </w:tr>
      <w:tr w:rsidR="006D4A72" w:rsidRPr="00FE5EE8" w14:paraId="57408C39" w14:textId="77777777" w:rsidTr="00F53A17">
        <w:tc>
          <w:tcPr>
            <w:tcW w:w="1531" w:type="dxa"/>
          </w:tcPr>
          <w:p w14:paraId="4130EA07" w14:textId="77777777" w:rsidR="006D4A72" w:rsidRPr="00FE5EE8" w:rsidRDefault="006D4A72" w:rsidP="001B34B3">
            <w:pPr>
              <w:spacing w:before="60" w:after="60"/>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Charges de personnel</w:t>
            </w:r>
          </w:p>
        </w:tc>
        <w:tc>
          <w:tcPr>
            <w:tcW w:w="964" w:type="dxa"/>
            <w:vAlign w:val="center"/>
          </w:tcPr>
          <w:p w14:paraId="0C8EF07A" w14:textId="77777777" w:rsidR="006D4A72" w:rsidRPr="00FE5EE8" w:rsidRDefault="006D4A72" w:rsidP="008A1AF9">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25 494</w:t>
            </w:r>
          </w:p>
        </w:tc>
        <w:tc>
          <w:tcPr>
            <w:tcW w:w="964" w:type="dxa"/>
            <w:vAlign w:val="center"/>
          </w:tcPr>
          <w:p w14:paraId="62AC3B4E" w14:textId="77777777" w:rsidR="006D4A72" w:rsidRPr="00FE5EE8" w:rsidRDefault="006D4A72" w:rsidP="008A1AF9">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25 406</w:t>
            </w:r>
          </w:p>
        </w:tc>
        <w:tc>
          <w:tcPr>
            <w:tcW w:w="964" w:type="dxa"/>
            <w:vAlign w:val="center"/>
          </w:tcPr>
          <w:p w14:paraId="046C0804" w14:textId="77777777" w:rsidR="006D4A72" w:rsidRPr="00FE5EE8" w:rsidRDefault="006D4A72"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25 036</w:t>
            </w:r>
          </w:p>
        </w:tc>
        <w:tc>
          <w:tcPr>
            <w:tcW w:w="964" w:type="dxa"/>
            <w:vAlign w:val="center"/>
          </w:tcPr>
          <w:p w14:paraId="3F7C2B6A" w14:textId="77777777" w:rsidR="006D4A72" w:rsidRPr="00FE5EE8" w:rsidRDefault="00424EC6" w:rsidP="00F34245">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24 989</w:t>
            </w:r>
          </w:p>
        </w:tc>
        <w:tc>
          <w:tcPr>
            <w:tcW w:w="964" w:type="dxa"/>
            <w:vAlign w:val="center"/>
          </w:tcPr>
          <w:p w14:paraId="199A508F" w14:textId="77777777" w:rsidR="006D4A72" w:rsidRPr="004F37BA" w:rsidRDefault="006D4A72" w:rsidP="00913410">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25 987</w:t>
            </w:r>
          </w:p>
        </w:tc>
        <w:tc>
          <w:tcPr>
            <w:tcW w:w="964" w:type="dxa"/>
            <w:vAlign w:val="center"/>
          </w:tcPr>
          <w:p w14:paraId="501149A0" w14:textId="77777777" w:rsidR="006D4A72" w:rsidRPr="004F37BA" w:rsidRDefault="006D4A72" w:rsidP="00913410">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26 765</w:t>
            </w:r>
          </w:p>
        </w:tc>
        <w:tc>
          <w:tcPr>
            <w:tcW w:w="964" w:type="dxa"/>
            <w:vAlign w:val="center"/>
          </w:tcPr>
          <w:p w14:paraId="42426A7F" w14:textId="77777777" w:rsidR="006D4A72" w:rsidRPr="004F37BA" w:rsidRDefault="006D4A72" w:rsidP="00033482">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27 415</w:t>
            </w:r>
          </w:p>
        </w:tc>
        <w:tc>
          <w:tcPr>
            <w:tcW w:w="964" w:type="dxa"/>
            <w:vAlign w:val="center"/>
          </w:tcPr>
          <w:p w14:paraId="08FC6F25" w14:textId="77777777" w:rsidR="006D4A72" w:rsidRPr="004F37BA" w:rsidRDefault="006D4A72" w:rsidP="00F53A17">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27 815</w:t>
            </w:r>
          </w:p>
        </w:tc>
      </w:tr>
      <w:tr w:rsidR="006D4A72" w:rsidRPr="00FE5EE8" w14:paraId="6DEAC8C1" w14:textId="77777777" w:rsidTr="00F53A17">
        <w:tc>
          <w:tcPr>
            <w:tcW w:w="1531" w:type="dxa"/>
          </w:tcPr>
          <w:p w14:paraId="62503FDF" w14:textId="77777777" w:rsidR="006D4A72" w:rsidRPr="00FE5EE8" w:rsidRDefault="006D4A72" w:rsidP="001B34B3">
            <w:pPr>
              <w:spacing w:before="60" w:after="60"/>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Atténuation de produits</w:t>
            </w:r>
          </w:p>
        </w:tc>
        <w:tc>
          <w:tcPr>
            <w:tcW w:w="964" w:type="dxa"/>
            <w:vAlign w:val="center"/>
          </w:tcPr>
          <w:p w14:paraId="3BAF2DB2" w14:textId="77777777" w:rsidR="006D4A72" w:rsidRPr="00FE5EE8" w:rsidRDefault="006D4A72" w:rsidP="008A1AF9">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192</w:t>
            </w:r>
          </w:p>
        </w:tc>
        <w:tc>
          <w:tcPr>
            <w:tcW w:w="964" w:type="dxa"/>
            <w:vAlign w:val="center"/>
          </w:tcPr>
          <w:p w14:paraId="4A78DDC8" w14:textId="77777777" w:rsidR="006D4A72" w:rsidRPr="00FE5EE8" w:rsidRDefault="006D4A72" w:rsidP="008A1AF9">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198</w:t>
            </w:r>
          </w:p>
        </w:tc>
        <w:tc>
          <w:tcPr>
            <w:tcW w:w="964" w:type="dxa"/>
            <w:vAlign w:val="center"/>
          </w:tcPr>
          <w:p w14:paraId="19E10C83" w14:textId="77777777" w:rsidR="006D4A72" w:rsidRPr="00FE5EE8" w:rsidRDefault="006D4A72"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182</w:t>
            </w:r>
          </w:p>
        </w:tc>
        <w:tc>
          <w:tcPr>
            <w:tcW w:w="964" w:type="dxa"/>
            <w:vAlign w:val="center"/>
          </w:tcPr>
          <w:p w14:paraId="69A9C2AC" w14:textId="77777777" w:rsidR="006D4A72" w:rsidRPr="00FE5EE8" w:rsidRDefault="00424EC6"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161</w:t>
            </w:r>
          </w:p>
        </w:tc>
        <w:tc>
          <w:tcPr>
            <w:tcW w:w="964" w:type="dxa"/>
            <w:vAlign w:val="center"/>
          </w:tcPr>
          <w:p w14:paraId="309E2C75" w14:textId="77777777" w:rsidR="006D4A72" w:rsidRPr="004F37BA" w:rsidRDefault="006D4A72" w:rsidP="008A1AF9">
            <w:pPr>
              <w:spacing w:before="60" w:after="60"/>
              <w:jc w:val="right"/>
              <w:outlineLvl w:val="1"/>
              <w:rPr>
                <w:rFonts w:ascii="Arial" w:eastAsia="Times New Roman" w:hAnsi="Arial" w:cs="Arial"/>
                <w:bCs/>
                <w:sz w:val="16"/>
                <w:szCs w:val="16"/>
                <w:lang w:eastAsia="fr-FR"/>
              </w:rPr>
            </w:pPr>
            <w:r w:rsidRPr="004F37BA">
              <w:rPr>
                <w:rFonts w:ascii="Arial" w:eastAsia="Times New Roman" w:hAnsi="Arial" w:cs="Arial"/>
                <w:bCs/>
                <w:sz w:val="16"/>
                <w:szCs w:val="16"/>
                <w:lang w:eastAsia="fr-FR"/>
              </w:rPr>
              <w:t>210</w:t>
            </w:r>
          </w:p>
        </w:tc>
        <w:tc>
          <w:tcPr>
            <w:tcW w:w="964" w:type="dxa"/>
            <w:vAlign w:val="center"/>
          </w:tcPr>
          <w:p w14:paraId="3F1C5487" w14:textId="77777777" w:rsidR="006D4A72" w:rsidRPr="004F37BA" w:rsidRDefault="006D4A72" w:rsidP="00F34245">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200</w:t>
            </w:r>
          </w:p>
        </w:tc>
        <w:tc>
          <w:tcPr>
            <w:tcW w:w="964" w:type="dxa"/>
            <w:vAlign w:val="center"/>
          </w:tcPr>
          <w:p w14:paraId="3CE39895" w14:textId="77777777" w:rsidR="006D4A72" w:rsidRPr="004F37BA" w:rsidRDefault="006D4A72" w:rsidP="00033482">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200</w:t>
            </w:r>
          </w:p>
        </w:tc>
        <w:tc>
          <w:tcPr>
            <w:tcW w:w="964" w:type="dxa"/>
            <w:vAlign w:val="center"/>
          </w:tcPr>
          <w:p w14:paraId="0261684B" w14:textId="77777777" w:rsidR="006D4A72" w:rsidRPr="004F37BA" w:rsidRDefault="006D4A72" w:rsidP="00F53A17">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200</w:t>
            </w:r>
          </w:p>
        </w:tc>
      </w:tr>
      <w:tr w:rsidR="006D4A72" w:rsidRPr="00FE5EE8" w14:paraId="40C98AC3" w14:textId="77777777" w:rsidTr="00F53A17">
        <w:tc>
          <w:tcPr>
            <w:tcW w:w="1531" w:type="dxa"/>
          </w:tcPr>
          <w:p w14:paraId="63248734" w14:textId="77777777" w:rsidR="006D4A72" w:rsidRPr="00FE5EE8" w:rsidRDefault="006D4A72" w:rsidP="008A1AF9">
            <w:pPr>
              <w:spacing w:before="60" w:after="60"/>
              <w:ind w:right="-103"/>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Autres charges de gestion courante</w:t>
            </w:r>
          </w:p>
        </w:tc>
        <w:tc>
          <w:tcPr>
            <w:tcW w:w="964" w:type="dxa"/>
            <w:vAlign w:val="center"/>
          </w:tcPr>
          <w:p w14:paraId="0B63C6D0" w14:textId="77777777" w:rsidR="006D4A72" w:rsidRPr="00FE5EE8" w:rsidRDefault="006D4A72" w:rsidP="008A1AF9">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9 131</w:t>
            </w:r>
          </w:p>
        </w:tc>
        <w:tc>
          <w:tcPr>
            <w:tcW w:w="964" w:type="dxa"/>
            <w:vAlign w:val="center"/>
          </w:tcPr>
          <w:p w14:paraId="0DCEC2C7" w14:textId="77777777" w:rsidR="006D4A72" w:rsidRPr="00FE5EE8" w:rsidRDefault="006D4A72" w:rsidP="008A1AF9">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9 089</w:t>
            </w:r>
          </w:p>
        </w:tc>
        <w:tc>
          <w:tcPr>
            <w:tcW w:w="964" w:type="dxa"/>
            <w:vAlign w:val="center"/>
          </w:tcPr>
          <w:p w14:paraId="5012FC06" w14:textId="77777777" w:rsidR="006D4A72" w:rsidRPr="00FE5EE8" w:rsidRDefault="006D4A72"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9 037</w:t>
            </w:r>
          </w:p>
        </w:tc>
        <w:tc>
          <w:tcPr>
            <w:tcW w:w="964" w:type="dxa"/>
            <w:vAlign w:val="center"/>
          </w:tcPr>
          <w:p w14:paraId="035B40B5" w14:textId="77777777" w:rsidR="006D4A72" w:rsidRPr="00FE5EE8" w:rsidRDefault="00424EC6" w:rsidP="0097076B">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8 941</w:t>
            </w:r>
          </w:p>
        </w:tc>
        <w:tc>
          <w:tcPr>
            <w:tcW w:w="964" w:type="dxa"/>
            <w:vAlign w:val="center"/>
          </w:tcPr>
          <w:p w14:paraId="5ECE2104" w14:textId="77777777" w:rsidR="006D4A72" w:rsidRPr="004F37BA" w:rsidRDefault="006D4A72"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9 300</w:t>
            </w:r>
          </w:p>
        </w:tc>
        <w:tc>
          <w:tcPr>
            <w:tcW w:w="964" w:type="dxa"/>
            <w:vAlign w:val="center"/>
          </w:tcPr>
          <w:p w14:paraId="24D57850" w14:textId="77777777" w:rsidR="006D4A72" w:rsidRPr="004F37BA" w:rsidRDefault="006D4A72"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9 671</w:t>
            </w:r>
          </w:p>
        </w:tc>
        <w:tc>
          <w:tcPr>
            <w:tcW w:w="964" w:type="dxa"/>
            <w:vAlign w:val="center"/>
          </w:tcPr>
          <w:p w14:paraId="2C755115" w14:textId="77777777" w:rsidR="006D4A72" w:rsidRPr="004F37BA" w:rsidRDefault="006D4A72" w:rsidP="00B3575E">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 xml:space="preserve">9 </w:t>
            </w:r>
            <w:r w:rsidR="00B3575E">
              <w:rPr>
                <w:rFonts w:ascii="Arial" w:eastAsia="Times New Roman" w:hAnsi="Arial" w:cs="Arial"/>
                <w:bCs/>
                <w:sz w:val="16"/>
                <w:szCs w:val="16"/>
                <w:lang w:eastAsia="fr-FR"/>
              </w:rPr>
              <w:t>681</w:t>
            </w:r>
          </w:p>
        </w:tc>
        <w:tc>
          <w:tcPr>
            <w:tcW w:w="964" w:type="dxa"/>
            <w:vAlign w:val="center"/>
          </w:tcPr>
          <w:p w14:paraId="2BB45910" w14:textId="77777777" w:rsidR="006D4A72" w:rsidRPr="004F37BA" w:rsidRDefault="006D4A72" w:rsidP="00F53A17">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9 7</w:t>
            </w:r>
            <w:r w:rsidR="00B3575E">
              <w:rPr>
                <w:rFonts w:ascii="Arial" w:eastAsia="Times New Roman" w:hAnsi="Arial" w:cs="Arial"/>
                <w:bCs/>
                <w:sz w:val="16"/>
                <w:szCs w:val="16"/>
                <w:lang w:eastAsia="fr-FR"/>
              </w:rPr>
              <w:t>00</w:t>
            </w:r>
          </w:p>
        </w:tc>
      </w:tr>
      <w:tr w:rsidR="006D4A72" w:rsidRPr="00FE5EE8" w14:paraId="386633BA" w14:textId="77777777" w:rsidTr="00F53A17">
        <w:tc>
          <w:tcPr>
            <w:tcW w:w="1531" w:type="dxa"/>
          </w:tcPr>
          <w:p w14:paraId="0EDD2D6A" w14:textId="77777777" w:rsidR="006D4A72" w:rsidRPr="00FE5EE8" w:rsidRDefault="006D4A72" w:rsidP="001B34B3">
            <w:pPr>
              <w:spacing w:before="60" w:after="60"/>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Charges financières</w:t>
            </w:r>
          </w:p>
        </w:tc>
        <w:tc>
          <w:tcPr>
            <w:tcW w:w="964" w:type="dxa"/>
            <w:vAlign w:val="center"/>
          </w:tcPr>
          <w:p w14:paraId="5623F56D" w14:textId="77777777" w:rsidR="006D4A72" w:rsidRPr="00FE5EE8" w:rsidRDefault="006D4A72" w:rsidP="008A1AF9">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714</w:t>
            </w:r>
          </w:p>
        </w:tc>
        <w:tc>
          <w:tcPr>
            <w:tcW w:w="964" w:type="dxa"/>
            <w:vAlign w:val="center"/>
          </w:tcPr>
          <w:p w14:paraId="3C8B4019" w14:textId="77777777" w:rsidR="006D4A72" w:rsidRPr="00FE5EE8" w:rsidRDefault="006D4A72" w:rsidP="008A1AF9">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724</w:t>
            </w:r>
          </w:p>
        </w:tc>
        <w:tc>
          <w:tcPr>
            <w:tcW w:w="964" w:type="dxa"/>
            <w:vAlign w:val="center"/>
          </w:tcPr>
          <w:p w14:paraId="4526CF55" w14:textId="77777777" w:rsidR="006D4A72" w:rsidRPr="00FE5EE8" w:rsidRDefault="006D4A72"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655</w:t>
            </w:r>
          </w:p>
        </w:tc>
        <w:tc>
          <w:tcPr>
            <w:tcW w:w="964" w:type="dxa"/>
            <w:vAlign w:val="center"/>
          </w:tcPr>
          <w:p w14:paraId="7CECB7F5" w14:textId="77777777" w:rsidR="006D4A72" w:rsidRPr="00FE5EE8" w:rsidRDefault="00424EC6"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628</w:t>
            </w:r>
          </w:p>
        </w:tc>
        <w:tc>
          <w:tcPr>
            <w:tcW w:w="964" w:type="dxa"/>
            <w:vAlign w:val="center"/>
          </w:tcPr>
          <w:p w14:paraId="205A282B" w14:textId="77777777" w:rsidR="006D4A72" w:rsidRPr="004F37BA" w:rsidRDefault="006D4A72"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606</w:t>
            </w:r>
          </w:p>
        </w:tc>
        <w:tc>
          <w:tcPr>
            <w:tcW w:w="964" w:type="dxa"/>
            <w:vAlign w:val="center"/>
          </w:tcPr>
          <w:p w14:paraId="3DC3BE55" w14:textId="77777777" w:rsidR="006D4A72" w:rsidRPr="004F37BA" w:rsidRDefault="006D4A72"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516</w:t>
            </w:r>
          </w:p>
        </w:tc>
        <w:tc>
          <w:tcPr>
            <w:tcW w:w="964" w:type="dxa"/>
            <w:vAlign w:val="center"/>
          </w:tcPr>
          <w:p w14:paraId="19698C03" w14:textId="77777777" w:rsidR="006D4A72" w:rsidRPr="004F37BA" w:rsidRDefault="006D4A72" w:rsidP="00033482">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465</w:t>
            </w:r>
          </w:p>
        </w:tc>
        <w:tc>
          <w:tcPr>
            <w:tcW w:w="964" w:type="dxa"/>
            <w:vAlign w:val="center"/>
          </w:tcPr>
          <w:p w14:paraId="012D0D5C" w14:textId="77777777" w:rsidR="006D4A72" w:rsidRPr="004F37BA" w:rsidRDefault="006D4A72" w:rsidP="00F53A17">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41</w:t>
            </w:r>
            <w:r w:rsidR="00B3575E">
              <w:rPr>
                <w:rFonts w:ascii="Arial" w:eastAsia="Times New Roman" w:hAnsi="Arial" w:cs="Arial"/>
                <w:bCs/>
                <w:sz w:val="16"/>
                <w:szCs w:val="16"/>
                <w:lang w:eastAsia="fr-FR"/>
              </w:rPr>
              <w:t>6</w:t>
            </w:r>
          </w:p>
        </w:tc>
      </w:tr>
      <w:tr w:rsidR="006D4A72" w:rsidRPr="00FE5EE8" w14:paraId="10494A45" w14:textId="77777777" w:rsidTr="00F53A17">
        <w:tc>
          <w:tcPr>
            <w:tcW w:w="1531" w:type="dxa"/>
          </w:tcPr>
          <w:p w14:paraId="43DB2DFA" w14:textId="77777777" w:rsidR="006D4A72" w:rsidRPr="00FE5EE8" w:rsidRDefault="006D4A72" w:rsidP="00624769">
            <w:pPr>
              <w:spacing w:before="60" w:after="60"/>
              <w:ind w:right="-103"/>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Charges exceptionnelles</w:t>
            </w:r>
          </w:p>
        </w:tc>
        <w:tc>
          <w:tcPr>
            <w:tcW w:w="964" w:type="dxa"/>
            <w:vAlign w:val="center"/>
          </w:tcPr>
          <w:p w14:paraId="4A7FB918" w14:textId="77777777" w:rsidR="006D4A72" w:rsidRPr="00FE5EE8" w:rsidRDefault="006D4A72" w:rsidP="008A1AF9">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323</w:t>
            </w:r>
          </w:p>
        </w:tc>
        <w:tc>
          <w:tcPr>
            <w:tcW w:w="964" w:type="dxa"/>
            <w:vAlign w:val="center"/>
          </w:tcPr>
          <w:p w14:paraId="20ECAF6D" w14:textId="77777777" w:rsidR="006D4A72" w:rsidRPr="00FE5EE8" w:rsidRDefault="006D4A72" w:rsidP="008A1AF9">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19</w:t>
            </w:r>
          </w:p>
        </w:tc>
        <w:tc>
          <w:tcPr>
            <w:tcW w:w="964" w:type="dxa"/>
            <w:vAlign w:val="center"/>
          </w:tcPr>
          <w:p w14:paraId="3312BD0B" w14:textId="77777777" w:rsidR="006D4A72" w:rsidRPr="00FE5EE8" w:rsidRDefault="006D4A72"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147</w:t>
            </w:r>
          </w:p>
        </w:tc>
        <w:tc>
          <w:tcPr>
            <w:tcW w:w="964" w:type="dxa"/>
            <w:vAlign w:val="center"/>
          </w:tcPr>
          <w:p w14:paraId="70EB1DAB" w14:textId="77777777" w:rsidR="006D4A72" w:rsidRPr="00FE5EE8" w:rsidRDefault="00424EC6"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w:t>
            </w:r>
          </w:p>
        </w:tc>
        <w:tc>
          <w:tcPr>
            <w:tcW w:w="964" w:type="dxa"/>
            <w:vAlign w:val="center"/>
          </w:tcPr>
          <w:p w14:paraId="06DE1EB0" w14:textId="77777777" w:rsidR="006D4A72" w:rsidRPr="004F37BA" w:rsidRDefault="006D4A72"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1 052</w:t>
            </w:r>
          </w:p>
        </w:tc>
        <w:tc>
          <w:tcPr>
            <w:tcW w:w="964" w:type="dxa"/>
            <w:vAlign w:val="center"/>
          </w:tcPr>
          <w:p w14:paraId="124BF944" w14:textId="77777777" w:rsidR="006D4A72" w:rsidRPr="004F37BA" w:rsidRDefault="006D4A72"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26</w:t>
            </w:r>
          </w:p>
        </w:tc>
        <w:tc>
          <w:tcPr>
            <w:tcW w:w="964" w:type="dxa"/>
            <w:vAlign w:val="center"/>
          </w:tcPr>
          <w:p w14:paraId="07A66971" w14:textId="77777777" w:rsidR="006D4A72" w:rsidRPr="004F37BA" w:rsidRDefault="006D4A72" w:rsidP="00033482">
            <w:pPr>
              <w:spacing w:before="60" w:after="60"/>
              <w:jc w:val="right"/>
              <w:outlineLvl w:val="1"/>
              <w:rPr>
                <w:rFonts w:ascii="Arial" w:eastAsia="Times New Roman" w:hAnsi="Arial" w:cs="Arial"/>
                <w:bCs/>
                <w:sz w:val="16"/>
                <w:szCs w:val="16"/>
                <w:lang w:eastAsia="fr-FR"/>
              </w:rPr>
            </w:pPr>
            <w:r w:rsidRPr="004F37BA">
              <w:rPr>
                <w:rFonts w:ascii="Arial" w:eastAsia="Times New Roman" w:hAnsi="Arial" w:cs="Arial"/>
                <w:bCs/>
                <w:sz w:val="16"/>
                <w:szCs w:val="16"/>
                <w:lang w:eastAsia="fr-FR"/>
              </w:rPr>
              <w:t>50</w:t>
            </w:r>
          </w:p>
        </w:tc>
        <w:tc>
          <w:tcPr>
            <w:tcW w:w="964" w:type="dxa"/>
            <w:vAlign w:val="center"/>
          </w:tcPr>
          <w:p w14:paraId="1627CF52" w14:textId="77777777" w:rsidR="006D4A72" w:rsidRPr="004F37BA" w:rsidRDefault="006D4A72" w:rsidP="00F53A17">
            <w:pPr>
              <w:spacing w:before="60" w:after="60"/>
              <w:jc w:val="right"/>
              <w:outlineLvl w:val="1"/>
              <w:rPr>
                <w:rFonts w:ascii="Arial" w:eastAsia="Times New Roman" w:hAnsi="Arial" w:cs="Arial"/>
                <w:bCs/>
                <w:sz w:val="16"/>
                <w:szCs w:val="16"/>
                <w:lang w:eastAsia="fr-FR"/>
              </w:rPr>
            </w:pPr>
            <w:r w:rsidRPr="004F37BA">
              <w:rPr>
                <w:rFonts w:ascii="Arial" w:eastAsia="Times New Roman" w:hAnsi="Arial" w:cs="Arial"/>
                <w:bCs/>
                <w:sz w:val="16"/>
                <w:szCs w:val="16"/>
                <w:lang w:eastAsia="fr-FR"/>
              </w:rPr>
              <w:t>50</w:t>
            </w:r>
          </w:p>
        </w:tc>
      </w:tr>
      <w:tr w:rsidR="006D4A72" w:rsidRPr="00FE5EE8" w14:paraId="65870829" w14:textId="77777777" w:rsidTr="00F53A17">
        <w:tc>
          <w:tcPr>
            <w:tcW w:w="1531" w:type="dxa"/>
          </w:tcPr>
          <w:p w14:paraId="66B2E57F" w14:textId="77777777" w:rsidR="006D4A72" w:rsidRPr="00FE5EE8" w:rsidRDefault="006D4A72" w:rsidP="008A1AF9">
            <w:pPr>
              <w:spacing w:before="60" w:after="60"/>
              <w:ind w:right="-103"/>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Dépenses réelles de fonctionnement</w:t>
            </w:r>
          </w:p>
        </w:tc>
        <w:tc>
          <w:tcPr>
            <w:tcW w:w="964" w:type="dxa"/>
            <w:vAlign w:val="center"/>
          </w:tcPr>
          <w:p w14:paraId="781B2E52" w14:textId="77777777" w:rsidR="006D4A72" w:rsidRPr="00FE5EE8" w:rsidRDefault="006D4A72" w:rsidP="008A1AF9">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41 621</w:t>
            </w:r>
          </w:p>
        </w:tc>
        <w:tc>
          <w:tcPr>
            <w:tcW w:w="964" w:type="dxa"/>
            <w:vAlign w:val="center"/>
          </w:tcPr>
          <w:p w14:paraId="45CD034A" w14:textId="77777777" w:rsidR="006D4A72" w:rsidRPr="00FE5EE8" w:rsidRDefault="006D4A72" w:rsidP="008A1AF9">
            <w:pPr>
              <w:spacing w:before="60" w:after="60"/>
              <w:jc w:val="right"/>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40 963</w:t>
            </w:r>
          </w:p>
        </w:tc>
        <w:tc>
          <w:tcPr>
            <w:tcW w:w="964" w:type="dxa"/>
            <w:vAlign w:val="center"/>
          </w:tcPr>
          <w:p w14:paraId="6503FF54" w14:textId="77777777" w:rsidR="006D4A72" w:rsidRPr="00FE5EE8" w:rsidRDefault="006D4A72"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40 644</w:t>
            </w:r>
          </w:p>
        </w:tc>
        <w:tc>
          <w:tcPr>
            <w:tcW w:w="964" w:type="dxa"/>
            <w:vAlign w:val="center"/>
          </w:tcPr>
          <w:p w14:paraId="6567245D" w14:textId="77777777" w:rsidR="006D4A72" w:rsidRPr="00FE5EE8" w:rsidRDefault="00424EC6" w:rsidP="0097076B">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39 453</w:t>
            </w:r>
          </w:p>
        </w:tc>
        <w:tc>
          <w:tcPr>
            <w:tcW w:w="964" w:type="dxa"/>
            <w:vAlign w:val="center"/>
          </w:tcPr>
          <w:p w14:paraId="40EADE60" w14:textId="77777777" w:rsidR="006D4A72" w:rsidRPr="004F37BA" w:rsidRDefault="006D4A72" w:rsidP="00913410">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43 891</w:t>
            </w:r>
          </w:p>
        </w:tc>
        <w:tc>
          <w:tcPr>
            <w:tcW w:w="964" w:type="dxa"/>
            <w:vAlign w:val="center"/>
          </w:tcPr>
          <w:p w14:paraId="0D61D382" w14:textId="77777777" w:rsidR="006D4A72" w:rsidRPr="004F37BA" w:rsidRDefault="006D4A72" w:rsidP="008A1AF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43 632</w:t>
            </w:r>
          </w:p>
        </w:tc>
        <w:tc>
          <w:tcPr>
            <w:tcW w:w="964" w:type="dxa"/>
            <w:vAlign w:val="center"/>
          </w:tcPr>
          <w:p w14:paraId="7CFBD267" w14:textId="77777777" w:rsidR="006D4A72" w:rsidRPr="004F37BA" w:rsidRDefault="006D4A72" w:rsidP="00B3575E">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 xml:space="preserve">44 </w:t>
            </w:r>
            <w:r w:rsidR="00B3575E">
              <w:rPr>
                <w:rFonts w:ascii="Arial" w:eastAsia="Times New Roman" w:hAnsi="Arial" w:cs="Arial"/>
                <w:bCs/>
                <w:sz w:val="16"/>
                <w:szCs w:val="16"/>
                <w:lang w:eastAsia="fr-FR"/>
              </w:rPr>
              <w:t>394</w:t>
            </w:r>
          </w:p>
        </w:tc>
        <w:tc>
          <w:tcPr>
            <w:tcW w:w="964" w:type="dxa"/>
            <w:vAlign w:val="center"/>
          </w:tcPr>
          <w:p w14:paraId="63C3B1C0" w14:textId="77777777" w:rsidR="006D4A72" w:rsidRPr="004F37BA" w:rsidRDefault="006D4A72" w:rsidP="00B3575E">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 xml:space="preserve">44 </w:t>
            </w:r>
            <w:r w:rsidR="00B3575E">
              <w:rPr>
                <w:rFonts w:ascii="Arial" w:eastAsia="Times New Roman" w:hAnsi="Arial" w:cs="Arial"/>
                <w:bCs/>
                <w:sz w:val="16"/>
                <w:szCs w:val="16"/>
                <w:lang w:eastAsia="fr-FR"/>
              </w:rPr>
              <w:t>896</w:t>
            </w:r>
          </w:p>
        </w:tc>
      </w:tr>
    </w:tbl>
    <w:p w14:paraId="0850FEF0" w14:textId="77777777" w:rsidR="00A650BD" w:rsidRDefault="00A650BD" w:rsidP="00865160">
      <w:pPr>
        <w:spacing w:before="100" w:beforeAutospacing="1" w:after="100" w:afterAutospacing="1" w:line="240" w:lineRule="auto"/>
        <w:outlineLvl w:val="1"/>
        <w:rPr>
          <w:rFonts w:ascii="Arial" w:eastAsia="Times New Roman" w:hAnsi="Arial" w:cs="Arial"/>
          <w:bCs/>
          <w:sz w:val="20"/>
          <w:szCs w:val="20"/>
          <w:u w:val="single"/>
          <w:lang w:eastAsia="fr-FR"/>
        </w:rPr>
      </w:pPr>
    </w:p>
    <w:p w14:paraId="26510233" w14:textId="77777777" w:rsidR="001B34B3" w:rsidRPr="00FE5EE8" w:rsidRDefault="001B34B3" w:rsidP="00865160">
      <w:pPr>
        <w:spacing w:before="100" w:beforeAutospacing="1" w:after="100" w:afterAutospacing="1" w:line="240" w:lineRule="auto"/>
        <w:outlineLvl w:val="1"/>
        <w:rPr>
          <w:rFonts w:ascii="Arial" w:eastAsia="Times New Roman" w:hAnsi="Arial" w:cs="Arial"/>
          <w:bCs/>
          <w:sz w:val="20"/>
          <w:szCs w:val="20"/>
          <w:u w:val="single"/>
          <w:lang w:eastAsia="fr-FR"/>
        </w:rPr>
      </w:pPr>
      <w:r w:rsidRPr="00FE5EE8">
        <w:rPr>
          <w:rFonts w:ascii="Arial" w:eastAsia="Times New Roman" w:hAnsi="Arial" w:cs="Arial"/>
          <w:bCs/>
          <w:sz w:val="20"/>
          <w:szCs w:val="20"/>
          <w:u w:val="single"/>
          <w:lang w:eastAsia="fr-FR"/>
        </w:rPr>
        <w:t>Les charges à caractère général</w:t>
      </w:r>
    </w:p>
    <w:p w14:paraId="0CCE1D2C" w14:textId="75D7ED40" w:rsidR="00954714" w:rsidRDefault="00A626D4" w:rsidP="001D6DF6">
      <w:pPr>
        <w:jc w:val="both"/>
        <w:outlineLvl w:val="1"/>
        <w:rPr>
          <w:rFonts w:ascii="Arial" w:eastAsia="Times New Roman" w:hAnsi="Arial" w:cs="Arial"/>
          <w:bCs/>
          <w:sz w:val="20"/>
          <w:szCs w:val="20"/>
          <w:lang w:eastAsia="fr-FR"/>
        </w:rPr>
      </w:pPr>
      <w:r w:rsidRPr="0076466C">
        <w:rPr>
          <w:rFonts w:ascii="Arial" w:eastAsia="Times New Roman" w:hAnsi="Arial" w:cs="Arial"/>
          <w:bCs/>
          <w:sz w:val="20"/>
          <w:szCs w:val="20"/>
          <w:lang w:eastAsia="fr-FR"/>
        </w:rPr>
        <w:t xml:space="preserve">Elles se composent de l’ensemble des </w:t>
      </w:r>
      <w:r w:rsidR="008008DA">
        <w:rPr>
          <w:rFonts w:ascii="Arial" w:eastAsia="Times New Roman" w:hAnsi="Arial" w:cs="Arial"/>
          <w:bCs/>
          <w:sz w:val="20"/>
          <w:szCs w:val="20"/>
          <w:lang w:eastAsia="fr-FR"/>
        </w:rPr>
        <w:t>achats, des dépenses d’activité</w:t>
      </w:r>
      <w:r w:rsidRPr="0076466C">
        <w:rPr>
          <w:rFonts w:ascii="Arial" w:eastAsia="Times New Roman" w:hAnsi="Arial" w:cs="Arial"/>
          <w:bCs/>
          <w:sz w:val="20"/>
          <w:szCs w:val="20"/>
          <w:lang w:eastAsia="fr-FR"/>
        </w:rPr>
        <w:t xml:space="preserve"> des services municipaux et de dépenses d’entretien courant des bâtiments, des fluides, assurances et taxes.</w:t>
      </w:r>
      <w:r w:rsidR="000A4B4D" w:rsidRPr="0076466C">
        <w:rPr>
          <w:rFonts w:ascii="Arial" w:eastAsia="Times New Roman" w:hAnsi="Arial" w:cs="Arial"/>
          <w:bCs/>
          <w:sz w:val="20"/>
          <w:szCs w:val="20"/>
          <w:lang w:eastAsia="fr-FR"/>
        </w:rPr>
        <w:t xml:space="preserve"> </w:t>
      </w:r>
      <w:r w:rsidR="006950B0" w:rsidRPr="0076466C">
        <w:rPr>
          <w:rFonts w:ascii="Arial" w:eastAsia="Times New Roman" w:hAnsi="Arial" w:cs="Arial"/>
          <w:bCs/>
          <w:sz w:val="20"/>
          <w:szCs w:val="20"/>
          <w:lang w:eastAsia="fr-FR"/>
        </w:rPr>
        <w:t xml:space="preserve">L’analyse prospective retient une </w:t>
      </w:r>
      <w:r w:rsidR="0076466C">
        <w:rPr>
          <w:rFonts w:ascii="Arial" w:eastAsia="Times New Roman" w:hAnsi="Arial" w:cs="Arial"/>
          <w:bCs/>
          <w:sz w:val="20"/>
          <w:szCs w:val="20"/>
          <w:lang w:eastAsia="fr-FR"/>
        </w:rPr>
        <w:t>diminution</w:t>
      </w:r>
      <w:r w:rsidR="00575232" w:rsidRPr="0076466C">
        <w:rPr>
          <w:rFonts w:ascii="Arial" w:eastAsia="Times New Roman" w:hAnsi="Arial" w:cs="Arial"/>
          <w:bCs/>
          <w:sz w:val="20"/>
          <w:szCs w:val="20"/>
          <w:lang w:eastAsia="fr-FR"/>
        </w:rPr>
        <w:t xml:space="preserve"> de </w:t>
      </w:r>
      <w:r w:rsidR="0076466C">
        <w:rPr>
          <w:rFonts w:ascii="Arial" w:eastAsia="Times New Roman" w:hAnsi="Arial" w:cs="Arial"/>
          <w:bCs/>
          <w:sz w:val="20"/>
          <w:szCs w:val="20"/>
          <w:lang w:eastAsia="fr-FR"/>
        </w:rPr>
        <w:t>4,1</w:t>
      </w:r>
      <w:r w:rsidR="008C559E" w:rsidRPr="0076466C">
        <w:rPr>
          <w:rFonts w:ascii="Arial" w:eastAsia="Times New Roman" w:hAnsi="Arial" w:cs="Arial"/>
          <w:bCs/>
          <w:sz w:val="20"/>
          <w:szCs w:val="20"/>
          <w:lang w:eastAsia="fr-FR"/>
        </w:rPr>
        <w:t xml:space="preserve"> %</w:t>
      </w:r>
      <w:r w:rsidR="00B3575E" w:rsidRPr="0076466C">
        <w:rPr>
          <w:rFonts w:ascii="Arial" w:eastAsia="Times New Roman" w:hAnsi="Arial" w:cs="Arial"/>
          <w:bCs/>
          <w:sz w:val="20"/>
          <w:szCs w:val="20"/>
          <w:lang w:eastAsia="fr-FR"/>
        </w:rPr>
        <w:t xml:space="preserve"> </w:t>
      </w:r>
      <w:r w:rsidRPr="0076466C">
        <w:rPr>
          <w:rFonts w:ascii="Arial" w:eastAsia="Times New Roman" w:hAnsi="Arial" w:cs="Arial"/>
          <w:bCs/>
          <w:sz w:val="20"/>
          <w:szCs w:val="20"/>
          <w:lang w:eastAsia="fr-FR"/>
        </w:rPr>
        <w:t xml:space="preserve">des </w:t>
      </w:r>
      <w:r w:rsidR="006950B0" w:rsidRPr="0076466C">
        <w:rPr>
          <w:rFonts w:ascii="Arial" w:eastAsia="Times New Roman" w:hAnsi="Arial" w:cs="Arial"/>
          <w:bCs/>
          <w:sz w:val="20"/>
          <w:szCs w:val="20"/>
          <w:lang w:eastAsia="fr-FR"/>
        </w:rPr>
        <w:t>charges à caractère général</w:t>
      </w:r>
      <w:r w:rsidR="008C559E" w:rsidRPr="0076466C">
        <w:rPr>
          <w:rFonts w:ascii="Arial" w:eastAsia="Times New Roman" w:hAnsi="Arial" w:cs="Arial"/>
          <w:bCs/>
          <w:sz w:val="20"/>
          <w:szCs w:val="20"/>
          <w:lang w:eastAsia="fr-FR"/>
        </w:rPr>
        <w:t xml:space="preserve"> en 202</w:t>
      </w:r>
      <w:r w:rsidR="0076466C">
        <w:rPr>
          <w:rFonts w:ascii="Arial" w:eastAsia="Times New Roman" w:hAnsi="Arial" w:cs="Arial"/>
          <w:bCs/>
          <w:sz w:val="20"/>
          <w:szCs w:val="20"/>
          <w:lang w:eastAsia="fr-FR"/>
        </w:rPr>
        <w:t>2</w:t>
      </w:r>
      <w:r w:rsidR="000F0B85">
        <w:rPr>
          <w:rFonts w:ascii="Arial" w:eastAsia="Times New Roman" w:hAnsi="Arial" w:cs="Arial"/>
          <w:bCs/>
          <w:sz w:val="20"/>
          <w:szCs w:val="20"/>
          <w:lang w:eastAsia="fr-FR"/>
        </w:rPr>
        <w:t xml:space="preserve"> en raison notamment</w:t>
      </w:r>
      <w:r w:rsidR="00954714">
        <w:rPr>
          <w:rFonts w:ascii="Arial" w:eastAsia="Times New Roman" w:hAnsi="Arial" w:cs="Arial"/>
          <w:bCs/>
          <w:sz w:val="20"/>
          <w:szCs w:val="20"/>
          <w:lang w:eastAsia="fr-FR"/>
        </w:rPr>
        <w:t> :</w:t>
      </w:r>
    </w:p>
    <w:p w14:paraId="5A41CEC4" w14:textId="77777777" w:rsidR="009A06B5" w:rsidRPr="00A650BD" w:rsidRDefault="00F85D94">
      <w:pPr>
        <w:pStyle w:val="Paragraphedeliste"/>
        <w:numPr>
          <w:ilvl w:val="0"/>
          <w:numId w:val="9"/>
        </w:numPr>
        <w:jc w:val="both"/>
        <w:outlineLvl w:val="1"/>
        <w:rPr>
          <w:lang w:eastAsia="fr-FR"/>
        </w:rPr>
      </w:pPr>
      <w:proofErr w:type="gramStart"/>
      <w:r w:rsidRPr="00F85D94">
        <w:rPr>
          <w:rFonts w:ascii="Arial" w:eastAsia="Times New Roman" w:hAnsi="Arial" w:cs="Arial"/>
          <w:bCs/>
          <w:sz w:val="20"/>
          <w:szCs w:val="20"/>
          <w:lang w:eastAsia="fr-FR"/>
        </w:rPr>
        <w:t>de</w:t>
      </w:r>
      <w:proofErr w:type="gramEnd"/>
      <w:r w:rsidRPr="00F85D94">
        <w:rPr>
          <w:rFonts w:ascii="Arial" w:eastAsia="Times New Roman" w:hAnsi="Arial" w:cs="Arial"/>
          <w:bCs/>
          <w:sz w:val="20"/>
          <w:szCs w:val="20"/>
          <w:lang w:eastAsia="fr-FR"/>
        </w:rPr>
        <w:t xml:space="preserve"> la baisse des dépenses exceptionnelles de la crise sanitair</w:t>
      </w:r>
      <w:r w:rsidR="00954714">
        <w:rPr>
          <w:rFonts w:ascii="Arial" w:eastAsia="Times New Roman" w:hAnsi="Arial" w:cs="Arial"/>
          <w:bCs/>
          <w:sz w:val="20"/>
          <w:szCs w:val="20"/>
          <w:lang w:eastAsia="fr-FR"/>
        </w:rPr>
        <w:t>e</w:t>
      </w:r>
      <w:r w:rsidR="00FE3686">
        <w:rPr>
          <w:rFonts w:ascii="Arial" w:eastAsia="Times New Roman" w:hAnsi="Arial" w:cs="Arial"/>
          <w:bCs/>
          <w:sz w:val="20"/>
          <w:szCs w:val="20"/>
          <w:lang w:eastAsia="fr-FR"/>
        </w:rPr>
        <w:t>,</w:t>
      </w:r>
      <w:r w:rsidR="00954714">
        <w:rPr>
          <w:rFonts w:ascii="Arial" w:eastAsia="Times New Roman" w:hAnsi="Arial" w:cs="Arial"/>
          <w:bCs/>
          <w:sz w:val="20"/>
          <w:szCs w:val="20"/>
          <w:lang w:eastAsia="fr-FR"/>
        </w:rPr>
        <w:t xml:space="preserve"> </w:t>
      </w:r>
    </w:p>
    <w:p w14:paraId="29A60E5F" w14:textId="77777777" w:rsidR="00A650BD" w:rsidRDefault="00A650BD" w:rsidP="00A650BD">
      <w:pPr>
        <w:pStyle w:val="Paragraphedeliste"/>
        <w:numPr>
          <w:ilvl w:val="0"/>
          <w:numId w:val="9"/>
        </w:numPr>
        <w:jc w:val="both"/>
        <w:outlineLvl w:val="1"/>
        <w:rPr>
          <w:rFonts w:ascii="Arial" w:eastAsia="Times New Roman" w:hAnsi="Arial" w:cs="Arial"/>
          <w:bCs/>
          <w:sz w:val="20"/>
          <w:szCs w:val="20"/>
          <w:lang w:eastAsia="fr-FR"/>
        </w:rPr>
      </w:pPr>
      <w:proofErr w:type="gramStart"/>
      <w:r w:rsidRPr="004470A4">
        <w:rPr>
          <w:rFonts w:ascii="Arial" w:eastAsia="Times New Roman" w:hAnsi="Arial" w:cs="Arial"/>
          <w:bCs/>
          <w:sz w:val="20"/>
          <w:szCs w:val="20"/>
          <w:lang w:eastAsia="fr-FR"/>
        </w:rPr>
        <w:lastRenderedPageBreak/>
        <w:t>du</w:t>
      </w:r>
      <w:proofErr w:type="gramEnd"/>
      <w:r w:rsidRPr="004470A4">
        <w:rPr>
          <w:rFonts w:ascii="Arial" w:eastAsia="Times New Roman" w:hAnsi="Arial" w:cs="Arial"/>
          <w:bCs/>
          <w:sz w:val="20"/>
          <w:szCs w:val="20"/>
          <w:lang w:eastAsia="fr-FR"/>
        </w:rPr>
        <w:t xml:space="preserve"> reclassement au chapitre 65 des dépenses d’hébergement de l’informatique en nuage, </w:t>
      </w:r>
    </w:p>
    <w:p w14:paraId="62820BD5" w14:textId="77777777" w:rsidR="00A365B0" w:rsidRPr="00FE3686" w:rsidRDefault="00582805" w:rsidP="00FE3686">
      <w:pPr>
        <w:pStyle w:val="Paragraphedeliste"/>
        <w:numPr>
          <w:ilvl w:val="0"/>
          <w:numId w:val="9"/>
        </w:numPr>
        <w:jc w:val="both"/>
        <w:outlineLvl w:val="1"/>
        <w:rPr>
          <w:rFonts w:ascii="Arial" w:eastAsia="Times New Roman" w:hAnsi="Arial" w:cs="Arial"/>
          <w:bCs/>
          <w:sz w:val="20"/>
          <w:szCs w:val="20"/>
          <w:lang w:eastAsia="fr-FR"/>
        </w:rPr>
      </w:pPr>
      <w:proofErr w:type="gramStart"/>
      <w:r w:rsidRPr="00A650BD">
        <w:rPr>
          <w:rFonts w:ascii="Arial" w:eastAsia="Times New Roman" w:hAnsi="Arial" w:cs="Arial"/>
          <w:bCs/>
          <w:sz w:val="20"/>
          <w:szCs w:val="20"/>
          <w:lang w:eastAsia="fr-FR"/>
        </w:rPr>
        <w:t>de</w:t>
      </w:r>
      <w:proofErr w:type="gramEnd"/>
      <w:r w:rsidRPr="00A650BD">
        <w:rPr>
          <w:rFonts w:ascii="Arial" w:eastAsia="Times New Roman" w:hAnsi="Arial" w:cs="Arial"/>
          <w:bCs/>
          <w:sz w:val="20"/>
          <w:szCs w:val="20"/>
          <w:lang w:eastAsia="fr-FR"/>
        </w:rPr>
        <w:t xml:space="preserve"> l’ajustement des crédits au niveau des dépenses réellement consommées les années précédentes, cet ajustement ne privant pas le service public communal des moyens d’assurer ses missions mais permettant de dégager le</w:t>
      </w:r>
      <w:r w:rsidR="00F85D94" w:rsidRPr="00F85D94">
        <w:rPr>
          <w:rFonts w:ascii="Arial" w:eastAsia="Times New Roman" w:hAnsi="Arial" w:cs="Arial"/>
          <w:bCs/>
          <w:sz w:val="20"/>
          <w:szCs w:val="20"/>
          <w:lang w:eastAsia="fr-FR"/>
        </w:rPr>
        <w:t xml:space="preserve">s crédits nécessaires pour répondre à des </w:t>
      </w:r>
      <w:r w:rsidRPr="00A650BD">
        <w:rPr>
          <w:rFonts w:ascii="Arial" w:eastAsia="Times New Roman" w:hAnsi="Arial" w:cs="Arial"/>
          <w:bCs/>
          <w:sz w:val="20"/>
          <w:szCs w:val="20"/>
          <w:lang w:eastAsia="fr-FR"/>
        </w:rPr>
        <w:t xml:space="preserve"> besoins nouveaux e</w:t>
      </w:r>
      <w:r w:rsidR="00F85D94" w:rsidRPr="00F85D94">
        <w:rPr>
          <w:rFonts w:ascii="Arial" w:eastAsia="Times New Roman" w:hAnsi="Arial" w:cs="Arial"/>
          <w:bCs/>
          <w:sz w:val="20"/>
          <w:szCs w:val="20"/>
          <w:lang w:eastAsia="fr-FR"/>
        </w:rPr>
        <w:t xml:space="preserve">t couvrir les </w:t>
      </w:r>
      <w:r w:rsidRPr="00A650BD">
        <w:rPr>
          <w:rFonts w:ascii="Arial" w:eastAsia="Times New Roman" w:hAnsi="Arial" w:cs="Arial"/>
          <w:bCs/>
          <w:sz w:val="20"/>
          <w:szCs w:val="20"/>
          <w:lang w:eastAsia="fr-FR"/>
        </w:rPr>
        <w:t>effets de</w:t>
      </w:r>
      <w:r w:rsidR="00F85D94" w:rsidRPr="00F85D94">
        <w:rPr>
          <w:rFonts w:ascii="Arial" w:eastAsia="Times New Roman" w:hAnsi="Arial" w:cs="Arial"/>
          <w:bCs/>
          <w:sz w:val="20"/>
          <w:szCs w:val="20"/>
          <w:lang w:eastAsia="fr-FR"/>
        </w:rPr>
        <w:t xml:space="preserve"> l’inflation sur les dépenses d</w:t>
      </w:r>
      <w:r w:rsidRPr="00A650BD">
        <w:rPr>
          <w:rFonts w:ascii="Arial" w:eastAsia="Times New Roman" w:hAnsi="Arial" w:cs="Arial"/>
          <w:bCs/>
          <w:sz w:val="20"/>
          <w:szCs w:val="20"/>
          <w:lang w:eastAsia="fr-FR"/>
        </w:rPr>
        <w:t xml:space="preserve">'énergie et d’alimentation en particulier. </w:t>
      </w:r>
      <w:r w:rsidR="00F85D94" w:rsidRPr="00A365B0">
        <w:rPr>
          <w:rFonts w:ascii="Arial" w:eastAsia="Times New Roman" w:hAnsi="Arial" w:cs="Arial"/>
          <w:bCs/>
          <w:sz w:val="20"/>
          <w:szCs w:val="20"/>
          <w:lang w:eastAsia="fr-FR"/>
        </w:rPr>
        <w:t xml:space="preserve">Ce taux de réalisation des dépenses budgétisées de l’ordre de 85% s’explique aussi par les tensions que connaissent différentes filières, portant à la fois sur l’allongement des délais d’approvisionnement sur certaines matières premières et les difficultés pour les entreprises à disposer de la main d’œuvre qualifiée pour réaliser les travaux dans les délais requis, cette situation pouvant aussi se traduire par des appels d’offres infructueux. </w:t>
      </w:r>
    </w:p>
    <w:p w14:paraId="320CC27F" w14:textId="77777777" w:rsidR="00A365B0" w:rsidRDefault="00A365B0">
      <w:pPr>
        <w:pStyle w:val="Paragraphedeliste"/>
        <w:jc w:val="both"/>
        <w:outlineLvl w:val="1"/>
        <w:rPr>
          <w:rFonts w:ascii="Arial" w:eastAsia="Times New Roman" w:hAnsi="Arial" w:cs="Arial"/>
          <w:bCs/>
          <w:sz w:val="20"/>
          <w:szCs w:val="20"/>
          <w:lang w:eastAsia="fr-FR"/>
        </w:rPr>
      </w:pPr>
    </w:p>
    <w:p w14:paraId="2E8E4CFE" w14:textId="77777777" w:rsidR="004E51C4" w:rsidRDefault="00575232" w:rsidP="00FE3686">
      <w:pPr>
        <w:jc w:val="both"/>
        <w:outlineLvl w:val="1"/>
        <w:rPr>
          <w:rFonts w:ascii="Arial" w:eastAsia="Times New Roman" w:hAnsi="Arial" w:cs="Arial"/>
          <w:bCs/>
          <w:sz w:val="20"/>
          <w:szCs w:val="20"/>
          <w:lang w:eastAsia="fr-FR"/>
        </w:rPr>
      </w:pPr>
      <w:r w:rsidRPr="004E51C4">
        <w:rPr>
          <w:rFonts w:ascii="Arial" w:eastAsia="Times New Roman" w:hAnsi="Arial" w:cs="Arial"/>
          <w:bCs/>
          <w:sz w:val="20"/>
          <w:szCs w:val="20"/>
          <w:lang w:eastAsia="fr-FR"/>
        </w:rPr>
        <w:t>Pour 2023</w:t>
      </w:r>
      <w:r w:rsidR="00482B8F" w:rsidRPr="004E51C4">
        <w:rPr>
          <w:rFonts w:ascii="Arial" w:eastAsia="Times New Roman" w:hAnsi="Arial" w:cs="Arial"/>
          <w:bCs/>
          <w:sz w:val="20"/>
          <w:szCs w:val="20"/>
          <w:lang w:eastAsia="fr-FR"/>
        </w:rPr>
        <w:t xml:space="preserve"> et 2024</w:t>
      </w:r>
      <w:r w:rsidRPr="004E51C4">
        <w:rPr>
          <w:rFonts w:ascii="Arial" w:eastAsia="Times New Roman" w:hAnsi="Arial" w:cs="Arial"/>
          <w:bCs/>
          <w:sz w:val="20"/>
          <w:szCs w:val="20"/>
          <w:lang w:eastAsia="fr-FR"/>
        </w:rPr>
        <w:t xml:space="preserve">, </w:t>
      </w:r>
      <w:r w:rsidR="00873AB3">
        <w:rPr>
          <w:rFonts w:ascii="Arial" w:eastAsia="Times New Roman" w:hAnsi="Arial" w:cs="Arial"/>
          <w:bCs/>
          <w:sz w:val="20"/>
          <w:szCs w:val="20"/>
          <w:lang w:eastAsia="fr-FR"/>
        </w:rPr>
        <w:t xml:space="preserve">la progression des dépenses s’explique par les effets de l’inflation, une hypothèse de 2% étant retenue. </w:t>
      </w:r>
    </w:p>
    <w:p w14:paraId="242C715C" w14:textId="77777777" w:rsidR="00FE3686" w:rsidRPr="00FE3686" w:rsidRDefault="00FE3686" w:rsidP="00FE3686">
      <w:pPr>
        <w:jc w:val="both"/>
        <w:outlineLvl w:val="1"/>
        <w:rPr>
          <w:rFonts w:ascii="Arial" w:eastAsia="Times New Roman" w:hAnsi="Arial" w:cs="Arial"/>
          <w:bCs/>
          <w:sz w:val="20"/>
          <w:szCs w:val="20"/>
          <w:lang w:eastAsia="fr-FR"/>
        </w:rPr>
      </w:pPr>
    </w:p>
    <w:p w14:paraId="58059C07" w14:textId="77777777" w:rsidR="001B34B3" w:rsidRPr="00FE5EE8" w:rsidRDefault="008A1AF9" w:rsidP="00865160">
      <w:pPr>
        <w:spacing w:before="100" w:beforeAutospacing="1" w:after="100" w:afterAutospacing="1" w:line="240" w:lineRule="auto"/>
        <w:outlineLvl w:val="1"/>
        <w:rPr>
          <w:rFonts w:ascii="Arial" w:eastAsia="Times New Roman" w:hAnsi="Arial" w:cs="Arial"/>
          <w:bCs/>
          <w:sz w:val="20"/>
          <w:szCs w:val="20"/>
          <w:u w:val="single"/>
          <w:lang w:eastAsia="fr-FR"/>
        </w:rPr>
      </w:pPr>
      <w:r w:rsidRPr="00FE5EE8">
        <w:rPr>
          <w:rFonts w:ascii="Arial" w:eastAsia="Times New Roman" w:hAnsi="Arial" w:cs="Arial"/>
          <w:bCs/>
          <w:sz w:val="20"/>
          <w:szCs w:val="20"/>
          <w:u w:val="single"/>
          <w:lang w:eastAsia="fr-FR"/>
        </w:rPr>
        <w:t>Les charges de personnel</w:t>
      </w:r>
    </w:p>
    <w:p w14:paraId="6A3FAEED" w14:textId="77777777" w:rsidR="000A713D" w:rsidRPr="0064615D" w:rsidRDefault="000A713D" w:rsidP="000A713D">
      <w:pPr>
        <w:jc w:val="both"/>
        <w:outlineLvl w:val="1"/>
        <w:rPr>
          <w:rFonts w:ascii="Arial" w:eastAsia="Times New Roman" w:hAnsi="Arial" w:cs="Arial"/>
          <w:bCs/>
          <w:sz w:val="20"/>
          <w:szCs w:val="20"/>
          <w:lang w:eastAsia="fr-FR"/>
        </w:rPr>
      </w:pPr>
      <w:r w:rsidRPr="0064615D">
        <w:rPr>
          <w:rFonts w:ascii="Arial" w:eastAsia="Times New Roman" w:hAnsi="Arial" w:cs="Arial"/>
          <w:bCs/>
          <w:sz w:val="20"/>
          <w:szCs w:val="20"/>
          <w:lang w:eastAsia="fr-FR"/>
        </w:rPr>
        <w:t xml:space="preserve">La maîtrise des dépenses de personnel constitue </w:t>
      </w:r>
      <w:r w:rsidR="00F85D94" w:rsidRPr="00F85D94">
        <w:rPr>
          <w:rFonts w:ascii="Arial" w:eastAsia="Times New Roman" w:hAnsi="Arial" w:cs="Arial"/>
          <w:bCs/>
          <w:sz w:val="20"/>
          <w:szCs w:val="20"/>
          <w:lang w:eastAsia="fr-FR"/>
        </w:rPr>
        <w:t>et reste</w:t>
      </w:r>
      <w:r w:rsidRPr="0064615D">
        <w:rPr>
          <w:rFonts w:ascii="Arial" w:eastAsia="Times New Roman" w:hAnsi="Arial" w:cs="Arial"/>
          <w:bCs/>
          <w:sz w:val="20"/>
          <w:szCs w:val="20"/>
          <w:lang w:eastAsia="fr-FR"/>
        </w:rPr>
        <w:t xml:space="preserve"> un enjeu important </w:t>
      </w:r>
      <w:r w:rsidR="00F85D94" w:rsidRPr="00F85D94">
        <w:rPr>
          <w:rFonts w:ascii="Arial" w:eastAsia="Times New Roman" w:hAnsi="Arial" w:cs="Arial"/>
          <w:bCs/>
          <w:sz w:val="20"/>
          <w:szCs w:val="20"/>
          <w:lang w:eastAsia="fr-FR"/>
        </w:rPr>
        <w:t>pour les collectivités locales et pour la ville de Fresnes en particulier</w:t>
      </w:r>
      <w:r w:rsidRPr="0064615D">
        <w:rPr>
          <w:rFonts w:ascii="Arial" w:eastAsia="Times New Roman" w:hAnsi="Arial" w:cs="Arial"/>
          <w:bCs/>
          <w:sz w:val="20"/>
          <w:szCs w:val="20"/>
          <w:lang w:eastAsia="fr-FR"/>
        </w:rPr>
        <w:t>.</w:t>
      </w:r>
    </w:p>
    <w:p w14:paraId="2826BA01" w14:textId="77777777" w:rsidR="00873AB3" w:rsidRPr="0064615D" w:rsidRDefault="00582805" w:rsidP="000A713D">
      <w:pPr>
        <w:jc w:val="both"/>
        <w:outlineLvl w:val="1"/>
        <w:rPr>
          <w:rFonts w:ascii="Arial" w:eastAsia="Times New Roman" w:hAnsi="Arial" w:cs="Arial"/>
          <w:bCs/>
          <w:sz w:val="20"/>
          <w:szCs w:val="20"/>
          <w:lang w:eastAsia="fr-FR"/>
        </w:rPr>
      </w:pPr>
      <w:r w:rsidRPr="0064615D">
        <w:rPr>
          <w:rFonts w:ascii="Arial" w:eastAsia="Times New Roman" w:hAnsi="Arial" w:cs="Arial"/>
          <w:bCs/>
          <w:sz w:val="20"/>
          <w:szCs w:val="20"/>
          <w:lang w:eastAsia="fr-FR"/>
        </w:rPr>
        <w:t xml:space="preserve"> Ainsi la ville mène de front une politique de gestion des ressources humaines : </w:t>
      </w:r>
    </w:p>
    <w:p w14:paraId="70BA6E29" w14:textId="77777777" w:rsidR="001206F4" w:rsidRPr="0064615D" w:rsidRDefault="00F85D94" w:rsidP="001206F4">
      <w:pPr>
        <w:pStyle w:val="Paragraphedeliste"/>
        <w:numPr>
          <w:ilvl w:val="0"/>
          <w:numId w:val="9"/>
        </w:numPr>
        <w:jc w:val="both"/>
        <w:outlineLvl w:val="1"/>
        <w:rPr>
          <w:rFonts w:ascii="Arial" w:eastAsia="Times New Roman" w:hAnsi="Arial" w:cs="Arial"/>
          <w:bCs/>
          <w:sz w:val="20"/>
          <w:szCs w:val="20"/>
          <w:lang w:eastAsia="fr-FR"/>
        </w:rPr>
      </w:pPr>
      <w:proofErr w:type="gramStart"/>
      <w:r w:rsidRPr="00F85D94">
        <w:rPr>
          <w:rFonts w:ascii="Arial" w:eastAsia="Times New Roman" w:hAnsi="Arial" w:cs="Arial"/>
          <w:bCs/>
          <w:sz w:val="20"/>
          <w:szCs w:val="20"/>
          <w:lang w:eastAsia="fr-FR"/>
        </w:rPr>
        <w:t>respectueuse</w:t>
      </w:r>
      <w:proofErr w:type="gramEnd"/>
      <w:r w:rsidRPr="00F85D94">
        <w:rPr>
          <w:rFonts w:ascii="Arial" w:eastAsia="Times New Roman" w:hAnsi="Arial" w:cs="Arial"/>
          <w:bCs/>
          <w:sz w:val="20"/>
          <w:szCs w:val="20"/>
          <w:lang w:eastAsia="fr-FR"/>
        </w:rPr>
        <w:t xml:space="preserve"> de la réglementation et des lois</w:t>
      </w:r>
    </w:p>
    <w:p w14:paraId="3B2104C5" w14:textId="77777777" w:rsidR="00A365B0" w:rsidRDefault="00582805">
      <w:pPr>
        <w:pStyle w:val="Paragraphedeliste"/>
        <w:numPr>
          <w:ilvl w:val="0"/>
          <w:numId w:val="9"/>
        </w:numPr>
        <w:jc w:val="both"/>
        <w:outlineLvl w:val="1"/>
        <w:rPr>
          <w:rFonts w:ascii="Arial" w:eastAsia="Times New Roman" w:hAnsi="Arial" w:cs="Arial"/>
          <w:bCs/>
          <w:sz w:val="20"/>
          <w:szCs w:val="20"/>
          <w:lang w:eastAsia="fr-FR"/>
        </w:rPr>
      </w:pPr>
      <w:proofErr w:type="gramStart"/>
      <w:r w:rsidRPr="0064615D">
        <w:rPr>
          <w:rFonts w:ascii="Arial" w:eastAsia="Times New Roman" w:hAnsi="Arial" w:cs="Arial"/>
          <w:bCs/>
          <w:sz w:val="20"/>
          <w:szCs w:val="20"/>
          <w:lang w:eastAsia="fr-FR"/>
        </w:rPr>
        <w:t>so</w:t>
      </w:r>
      <w:r w:rsidR="00F85D94" w:rsidRPr="00F85D94">
        <w:rPr>
          <w:rFonts w:ascii="Arial" w:eastAsia="Times New Roman" w:hAnsi="Arial" w:cs="Arial"/>
          <w:bCs/>
          <w:sz w:val="20"/>
          <w:szCs w:val="20"/>
          <w:lang w:eastAsia="fr-FR"/>
        </w:rPr>
        <w:t>ciale</w:t>
      </w:r>
      <w:proofErr w:type="gramEnd"/>
      <w:r w:rsidR="00F85D94" w:rsidRPr="00F85D94">
        <w:rPr>
          <w:rFonts w:ascii="Arial" w:eastAsia="Times New Roman" w:hAnsi="Arial" w:cs="Arial"/>
          <w:bCs/>
          <w:sz w:val="20"/>
          <w:szCs w:val="20"/>
          <w:lang w:eastAsia="fr-FR"/>
        </w:rPr>
        <w:t xml:space="preserve"> par la r</w:t>
      </w:r>
      <w:r w:rsidRPr="0064615D">
        <w:rPr>
          <w:rFonts w:ascii="Arial" w:eastAsia="Times New Roman" w:hAnsi="Arial" w:cs="Arial"/>
          <w:bCs/>
          <w:sz w:val="20"/>
          <w:szCs w:val="20"/>
          <w:lang w:eastAsia="fr-FR"/>
        </w:rPr>
        <w:t>édu</w:t>
      </w:r>
      <w:r w:rsidR="00F85D94" w:rsidRPr="00F85D94">
        <w:rPr>
          <w:rFonts w:ascii="Arial" w:eastAsia="Times New Roman" w:hAnsi="Arial" w:cs="Arial"/>
          <w:bCs/>
          <w:sz w:val="20"/>
          <w:szCs w:val="20"/>
          <w:lang w:eastAsia="fr-FR"/>
        </w:rPr>
        <w:t>ction de</w:t>
      </w:r>
      <w:r w:rsidRPr="0064615D">
        <w:rPr>
          <w:rFonts w:ascii="Arial" w:eastAsia="Times New Roman" w:hAnsi="Arial" w:cs="Arial"/>
          <w:bCs/>
          <w:sz w:val="20"/>
          <w:szCs w:val="20"/>
          <w:lang w:eastAsia="fr-FR"/>
        </w:rPr>
        <w:t xml:space="preserve"> la précarité des personnels vacataires et contractuels</w:t>
      </w:r>
      <w:r w:rsidR="00F85D94" w:rsidRPr="00F85D94">
        <w:rPr>
          <w:rFonts w:ascii="Arial" w:eastAsia="Times New Roman" w:hAnsi="Arial" w:cs="Arial"/>
          <w:bCs/>
          <w:sz w:val="20"/>
          <w:szCs w:val="20"/>
          <w:lang w:eastAsia="fr-FR"/>
        </w:rPr>
        <w:t xml:space="preserve"> et</w:t>
      </w:r>
      <w:r w:rsidRPr="0064615D">
        <w:rPr>
          <w:rFonts w:ascii="Arial" w:eastAsia="Times New Roman" w:hAnsi="Arial" w:cs="Arial"/>
          <w:bCs/>
          <w:sz w:val="20"/>
          <w:szCs w:val="20"/>
          <w:lang w:eastAsia="fr-FR"/>
        </w:rPr>
        <w:t xml:space="preserve"> l’augmentation du traitement </w:t>
      </w:r>
      <w:r w:rsidR="00F85D94" w:rsidRPr="00F85D94">
        <w:rPr>
          <w:rFonts w:ascii="Arial" w:eastAsia="Times New Roman" w:hAnsi="Arial" w:cs="Arial"/>
          <w:bCs/>
          <w:sz w:val="20"/>
          <w:szCs w:val="20"/>
          <w:lang w:eastAsia="fr-FR"/>
        </w:rPr>
        <w:t xml:space="preserve">des agents via la progression du </w:t>
      </w:r>
      <w:r w:rsidRPr="0064615D">
        <w:rPr>
          <w:rFonts w:ascii="Arial" w:eastAsia="Times New Roman" w:hAnsi="Arial" w:cs="Arial"/>
          <w:bCs/>
          <w:sz w:val="20"/>
          <w:szCs w:val="20"/>
          <w:lang w:eastAsia="fr-FR"/>
        </w:rPr>
        <w:t>régime indemnitaire</w:t>
      </w:r>
    </w:p>
    <w:p w14:paraId="7CC0C65D" w14:textId="77777777" w:rsidR="00A365B0" w:rsidRDefault="00F85D94">
      <w:pPr>
        <w:pStyle w:val="Paragraphedeliste"/>
        <w:numPr>
          <w:ilvl w:val="0"/>
          <w:numId w:val="9"/>
        </w:numPr>
        <w:jc w:val="both"/>
        <w:outlineLvl w:val="1"/>
        <w:rPr>
          <w:rFonts w:ascii="Arial" w:eastAsia="Times New Roman" w:hAnsi="Arial" w:cs="Arial"/>
          <w:bCs/>
          <w:sz w:val="20"/>
          <w:szCs w:val="20"/>
          <w:lang w:eastAsia="fr-FR"/>
        </w:rPr>
      </w:pPr>
      <w:proofErr w:type="gramStart"/>
      <w:r w:rsidRPr="00F85D94">
        <w:rPr>
          <w:rFonts w:ascii="Arial" w:eastAsia="Times New Roman" w:hAnsi="Arial" w:cs="Arial"/>
          <w:bCs/>
          <w:sz w:val="20"/>
          <w:szCs w:val="20"/>
          <w:lang w:eastAsia="fr-FR"/>
        </w:rPr>
        <w:t>ambitieuse</w:t>
      </w:r>
      <w:proofErr w:type="gramEnd"/>
      <w:r w:rsidRPr="00F85D94">
        <w:rPr>
          <w:rFonts w:ascii="Arial" w:eastAsia="Times New Roman" w:hAnsi="Arial" w:cs="Arial"/>
          <w:bCs/>
          <w:sz w:val="20"/>
          <w:szCs w:val="20"/>
          <w:lang w:eastAsia="fr-FR"/>
        </w:rPr>
        <w:t xml:space="preserve"> par une politique managériale visant à accompagner les agents dans leurs projets professionnels et emplois</w:t>
      </w:r>
    </w:p>
    <w:p w14:paraId="0A86E4F6" w14:textId="77777777" w:rsidR="00A365B0" w:rsidRDefault="00F85D94">
      <w:pPr>
        <w:pStyle w:val="Paragraphedeliste"/>
        <w:numPr>
          <w:ilvl w:val="0"/>
          <w:numId w:val="9"/>
        </w:numPr>
        <w:jc w:val="both"/>
        <w:outlineLvl w:val="1"/>
        <w:rPr>
          <w:rFonts w:ascii="Arial" w:eastAsia="Times New Roman" w:hAnsi="Arial" w:cs="Arial"/>
          <w:bCs/>
          <w:sz w:val="20"/>
          <w:szCs w:val="20"/>
          <w:lang w:eastAsia="fr-FR"/>
        </w:rPr>
      </w:pPr>
      <w:proofErr w:type="gramStart"/>
      <w:r w:rsidRPr="00F85D94">
        <w:rPr>
          <w:rFonts w:ascii="Arial" w:eastAsia="Times New Roman" w:hAnsi="Arial" w:cs="Arial"/>
          <w:bCs/>
          <w:sz w:val="20"/>
          <w:szCs w:val="20"/>
          <w:lang w:eastAsia="fr-FR"/>
        </w:rPr>
        <w:t>attentive</w:t>
      </w:r>
      <w:proofErr w:type="gramEnd"/>
      <w:r w:rsidRPr="00F85D94">
        <w:rPr>
          <w:rFonts w:ascii="Arial" w:eastAsia="Times New Roman" w:hAnsi="Arial" w:cs="Arial"/>
          <w:bCs/>
          <w:sz w:val="20"/>
          <w:szCs w:val="20"/>
          <w:lang w:eastAsia="fr-FR"/>
        </w:rPr>
        <w:t xml:space="preserve"> à la qualité des services rendus par le service public</w:t>
      </w:r>
    </w:p>
    <w:p w14:paraId="740A588D" w14:textId="77777777" w:rsidR="000236CE" w:rsidRDefault="000236CE" w:rsidP="001C29C7">
      <w:pPr>
        <w:jc w:val="both"/>
        <w:outlineLvl w:val="1"/>
        <w:rPr>
          <w:rFonts w:ascii="Arial" w:eastAsia="Times New Roman" w:hAnsi="Arial" w:cs="Arial"/>
          <w:bCs/>
          <w:sz w:val="20"/>
          <w:szCs w:val="20"/>
          <w:lang w:eastAsia="fr-FR"/>
        </w:rPr>
      </w:pPr>
      <w:r>
        <w:rPr>
          <w:rFonts w:ascii="Arial" w:eastAsia="Times New Roman" w:hAnsi="Arial" w:cs="Arial"/>
          <w:bCs/>
          <w:sz w:val="20"/>
          <w:szCs w:val="20"/>
          <w:lang w:eastAsia="fr-FR"/>
        </w:rPr>
        <w:t>La prospective 2</w:t>
      </w:r>
      <w:r w:rsidR="000A713D">
        <w:rPr>
          <w:rFonts w:ascii="Arial" w:eastAsia="Times New Roman" w:hAnsi="Arial" w:cs="Arial"/>
          <w:bCs/>
          <w:sz w:val="20"/>
          <w:szCs w:val="20"/>
          <w:lang w:eastAsia="fr-FR"/>
        </w:rPr>
        <w:t>022-2024</w:t>
      </w:r>
      <w:r>
        <w:rPr>
          <w:rFonts w:ascii="Arial" w:eastAsia="Times New Roman" w:hAnsi="Arial" w:cs="Arial"/>
          <w:bCs/>
          <w:sz w:val="20"/>
          <w:szCs w:val="20"/>
          <w:lang w:eastAsia="fr-FR"/>
        </w:rPr>
        <w:t xml:space="preserve"> est présentée sur la base des modes de gestion en place, s’agissant notamment de la restaur</w:t>
      </w:r>
      <w:r w:rsidR="00905299">
        <w:rPr>
          <w:rFonts w:ascii="Arial" w:eastAsia="Times New Roman" w:hAnsi="Arial" w:cs="Arial"/>
          <w:bCs/>
          <w:sz w:val="20"/>
          <w:szCs w:val="20"/>
          <w:lang w:eastAsia="fr-FR"/>
        </w:rPr>
        <w:t>ation collective, étant rappelé</w:t>
      </w:r>
      <w:r>
        <w:rPr>
          <w:rFonts w:ascii="Arial" w:eastAsia="Times New Roman" w:hAnsi="Arial" w:cs="Arial"/>
          <w:bCs/>
          <w:sz w:val="20"/>
          <w:szCs w:val="20"/>
          <w:lang w:eastAsia="fr-FR"/>
        </w:rPr>
        <w:t xml:space="preserve"> que le passage en mode régie publique </w:t>
      </w:r>
      <w:r w:rsidR="008970B7">
        <w:rPr>
          <w:rFonts w:ascii="Arial" w:eastAsia="Times New Roman" w:hAnsi="Arial" w:cs="Arial"/>
          <w:bCs/>
          <w:sz w:val="20"/>
          <w:szCs w:val="20"/>
          <w:lang w:eastAsia="fr-FR"/>
        </w:rPr>
        <w:t xml:space="preserve">reste </w:t>
      </w:r>
      <w:r>
        <w:rPr>
          <w:rFonts w:ascii="Arial" w:eastAsia="Times New Roman" w:hAnsi="Arial" w:cs="Arial"/>
          <w:bCs/>
          <w:sz w:val="20"/>
          <w:szCs w:val="20"/>
          <w:lang w:eastAsia="fr-FR"/>
        </w:rPr>
        <w:t>en réflexion</w:t>
      </w:r>
      <w:r w:rsidR="008970B7">
        <w:rPr>
          <w:rFonts w:ascii="Arial" w:eastAsia="Times New Roman" w:hAnsi="Arial" w:cs="Arial"/>
          <w:bCs/>
          <w:sz w:val="20"/>
          <w:szCs w:val="20"/>
          <w:lang w:eastAsia="fr-FR"/>
        </w:rPr>
        <w:t>.</w:t>
      </w:r>
    </w:p>
    <w:p w14:paraId="4BF4195A" w14:textId="77777777" w:rsidR="00D325CA" w:rsidRDefault="00D325CA" w:rsidP="001C29C7">
      <w:pPr>
        <w:jc w:val="both"/>
        <w:outlineLvl w:val="1"/>
        <w:rPr>
          <w:rFonts w:ascii="Arial" w:eastAsia="Times New Roman" w:hAnsi="Arial" w:cs="Arial"/>
          <w:bCs/>
          <w:sz w:val="20"/>
          <w:szCs w:val="20"/>
          <w:lang w:eastAsia="fr-FR"/>
        </w:rPr>
      </w:pPr>
    </w:p>
    <w:p w14:paraId="6E7D5C8C" w14:textId="77777777" w:rsidR="003D2FF3" w:rsidRPr="003D2FF3" w:rsidRDefault="003D2FF3" w:rsidP="003D2FF3">
      <w:pPr>
        <w:pStyle w:val="Paragraphedeliste"/>
        <w:numPr>
          <w:ilvl w:val="0"/>
          <w:numId w:val="11"/>
        </w:numPr>
        <w:jc w:val="both"/>
        <w:outlineLvl w:val="1"/>
        <w:rPr>
          <w:rFonts w:ascii="Arial" w:eastAsia="Times New Roman" w:hAnsi="Arial" w:cs="Arial"/>
          <w:bCs/>
          <w:sz w:val="20"/>
          <w:szCs w:val="20"/>
          <w:lang w:eastAsia="fr-FR"/>
        </w:rPr>
      </w:pPr>
      <w:r>
        <w:rPr>
          <w:rFonts w:ascii="Arial" w:eastAsia="Times New Roman" w:hAnsi="Arial" w:cs="Arial"/>
          <w:bCs/>
          <w:sz w:val="20"/>
          <w:szCs w:val="20"/>
          <w:lang w:eastAsia="fr-FR"/>
        </w:rPr>
        <w:t xml:space="preserve">Les effets de l’environnement réglementaire </w:t>
      </w:r>
    </w:p>
    <w:p w14:paraId="5A54524E" w14:textId="77777777" w:rsidR="00A365B0" w:rsidRDefault="000A713D">
      <w:pPr>
        <w:jc w:val="both"/>
        <w:outlineLvl w:val="1"/>
        <w:rPr>
          <w:rFonts w:ascii="Arial" w:eastAsia="Times New Roman" w:hAnsi="Arial" w:cs="Arial"/>
          <w:bCs/>
          <w:sz w:val="20"/>
          <w:szCs w:val="20"/>
          <w:lang w:eastAsia="fr-FR"/>
        </w:rPr>
      </w:pPr>
      <w:r w:rsidRPr="000A713D">
        <w:rPr>
          <w:rFonts w:ascii="Arial" w:eastAsia="Times New Roman" w:hAnsi="Arial" w:cs="Arial"/>
          <w:bCs/>
          <w:sz w:val="20"/>
          <w:szCs w:val="20"/>
          <w:lang w:eastAsia="fr-FR"/>
        </w:rPr>
        <w:t>L’évolution de la masse salariale progresse structurellement chaque année en fonction du glissement vieillesse technicité (GVT) et résulte des choix propres à la collectivité (avancement de grade et d’échelon, promotion interne) mais également d’obligations réglementaires (mise en œuvre du parcours professionnel, carrières et rémunérations (PPCR), hausse des cotisations employeurs, organisation d’élections, …) ou de mesures nationales</w:t>
      </w:r>
      <w:r w:rsidR="00D27355">
        <w:rPr>
          <w:rFonts w:ascii="Arial" w:eastAsia="Times New Roman" w:hAnsi="Arial" w:cs="Arial"/>
          <w:bCs/>
          <w:sz w:val="20"/>
          <w:szCs w:val="20"/>
          <w:lang w:eastAsia="fr-FR"/>
        </w:rPr>
        <w:t xml:space="preserve"> (modification des grilles indiciaires des auxiliaires de puériculture, …)</w:t>
      </w:r>
      <w:r w:rsidR="00DF22FE">
        <w:rPr>
          <w:rFonts w:ascii="Arial" w:eastAsia="Times New Roman" w:hAnsi="Arial" w:cs="Arial"/>
          <w:bCs/>
          <w:sz w:val="20"/>
          <w:szCs w:val="20"/>
          <w:lang w:eastAsia="fr-FR"/>
        </w:rPr>
        <w:t>.</w:t>
      </w:r>
      <w:r w:rsidRPr="000A713D">
        <w:rPr>
          <w:rFonts w:ascii="Arial" w:eastAsia="Times New Roman" w:hAnsi="Arial" w:cs="Arial"/>
          <w:bCs/>
          <w:sz w:val="20"/>
          <w:szCs w:val="20"/>
          <w:lang w:eastAsia="fr-FR"/>
        </w:rPr>
        <w:t xml:space="preserve"> </w:t>
      </w:r>
    </w:p>
    <w:p w14:paraId="6FE66674" w14:textId="77B599F9" w:rsidR="000A713D" w:rsidRPr="0064615D" w:rsidRDefault="00F85D94" w:rsidP="000A713D">
      <w:pPr>
        <w:jc w:val="both"/>
        <w:outlineLvl w:val="1"/>
        <w:rPr>
          <w:rFonts w:ascii="Arial" w:eastAsia="Times New Roman" w:hAnsi="Arial" w:cs="Arial"/>
          <w:bCs/>
          <w:sz w:val="20"/>
          <w:szCs w:val="20"/>
          <w:lang w:eastAsia="fr-FR"/>
        </w:rPr>
      </w:pPr>
      <w:r w:rsidRPr="00F85D94">
        <w:rPr>
          <w:rFonts w:ascii="Arial" w:eastAsia="Times New Roman" w:hAnsi="Arial" w:cs="Arial"/>
          <w:bCs/>
          <w:sz w:val="20"/>
          <w:szCs w:val="20"/>
          <w:lang w:eastAsia="fr-FR"/>
        </w:rPr>
        <w:t>Suite à l’évolution du</w:t>
      </w:r>
      <w:r w:rsidR="000A713D" w:rsidRPr="0064615D">
        <w:rPr>
          <w:rFonts w:ascii="Arial" w:eastAsia="Times New Roman" w:hAnsi="Arial" w:cs="Arial"/>
          <w:bCs/>
          <w:sz w:val="20"/>
          <w:szCs w:val="20"/>
          <w:lang w:eastAsia="fr-FR"/>
        </w:rPr>
        <w:t xml:space="preserve"> cadre réglementaire au 1</w:t>
      </w:r>
      <w:r w:rsidR="000A713D" w:rsidRPr="0064615D">
        <w:rPr>
          <w:rFonts w:ascii="Arial" w:eastAsia="Times New Roman" w:hAnsi="Arial" w:cs="Arial"/>
          <w:bCs/>
          <w:sz w:val="20"/>
          <w:szCs w:val="20"/>
          <w:vertAlign w:val="superscript"/>
          <w:lang w:eastAsia="fr-FR"/>
        </w:rPr>
        <w:t>er</w:t>
      </w:r>
      <w:r w:rsidR="000A713D" w:rsidRPr="0064615D">
        <w:rPr>
          <w:rFonts w:ascii="Arial" w:eastAsia="Times New Roman" w:hAnsi="Arial" w:cs="Arial"/>
          <w:bCs/>
          <w:sz w:val="20"/>
          <w:szCs w:val="20"/>
          <w:lang w:eastAsia="fr-FR"/>
        </w:rPr>
        <w:t xml:space="preserve"> janvier 2022 </w:t>
      </w:r>
      <w:r w:rsidRPr="00F85D94">
        <w:rPr>
          <w:rFonts w:ascii="Arial" w:eastAsia="Times New Roman" w:hAnsi="Arial" w:cs="Arial"/>
          <w:bCs/>
          <w:sz w:val="20"/>
          <w:szCs w:val="20"/>
          <w:lang w:eastAsia="fr-FR"/>
        </w:rPr>
        <w:t>et l’</w:t>
      </w:r>
      <w:r w:rsidR="000A713D" w:rsidRPr="0064615D">
        <w:rPr>
          <w:rFonts w:ascii="Arial" w:eastAsia="Times New Roman" w:hAnsi="Arial" w:cs="Arial"/>
          <w:bCs/>
          <w:sz w:val="20"/>
          <w:szCs w:val="20"/>
          <w:lang w:eastAsia="fr-FR"/>
        </w:rPr>
        <w:t>augmentation du nombre d’heures travaillées annuellement par les agents</w:t>
      </w:r>
      <w:r w:rsidRPr="00F85D94">
        <w:rPr>
          <w:rFonts w:ascii="Arial" w:eastAsia="Times New Roman" w:hAnsi="Arial" w:cs="Arial"/>
          <w:bCs/>
          <w:sz w:val="20"/>
          <w:szCs w:val="20"/>
          <w:lang w:eastAsia="fr-FR"/>
        </w:rPr>
        <w:t>, la ville de Fresnes</w:t>
      </w:r>
      <w:r w:rsidR="000A713D" w:rsidRPr="0064615D">
        <w:rPr>
          <w:rFonts w:ascii="Arial" w:eastAsia="Times New Roman" w:hAnsi="Arial" w:cs="Arial"/>
          <w:bCs/>
          <w:sz w:val="20"/>
          <w:szCs w:val="20"/>
          <w:lang w:eastAsia="fr-FR"/>
        </w:rPr>
        <w:t xml:space="preserve"> </w:t>
      </w:r>
      <w:r w:rsidRPr="00F85D94">
        <w:rPr>
          <w:rFonts w:ascii="Arial" w:eastAsia="Times New Roman" w:hAnsi="Arial" w:cs="Arial"/>
          <w:bCs/>
          <w:sz w:val="20"/>
          <w:szCs w:val="20"/>
          <w:lang w:eastAsia="fr-FR"/>
        </w:rPr>
        <w:t xml:space="preserve">s’est adaptée comme l’exigeait la loi en passant de </w:t>
      </w:r>
      <w:r w:rsidR="000A713D" w:rsidRPr="0064615D">
        <w:rPr>
          <w:rFonts w:ascii="Arial" w:eastAsia="Times New Roman" w:hAnsi="Arial" w:cs="Arial"/>
          <w:bCs/>
          <w:sz w:val="20"/>
          <w:szCs w:val="20"/>
          <w:lang w:eastAsia="fr-FR"/>
        </w:rPr>
        <w:t xml:space="preserve">1540 heures </w:t>
      </w:r>
      <w:r w:rsidRPr="00F85D94">
        <w:rPr>
          <w:rFonts w:ascii="Arial" w:eastAsia="Times New Roman" w:hAnsi="Arial" w:cs="Arial"/>
          <w:bCs/>
          <w:sz w:val="20"/>
          <w:szCs w:val="20"/>
          <w:lang w:eastAsia="fr-FR"/>
        </w:rPr>
        <w:t>aux 1607 heures légales</w:t>
      </w:r>
      <w:r w:rsidR="000A713D" w:rsidRPr="0064615D">
        <w:rPr>
          <w:rFonts w:ascii="Arial" w:eastAsia="Times New Roman" w:hAnsi="Arial" w:cs="Arial"/>
          <w:bCs/>
          <w:sz w:val="20"/>
          <w:szCs w:val="20"/>
          <w:lang w:eastAsia="fr-FR"/>
        </w:rPr>
        <w:t xml:space="preserve">. Cette augmentation du nombre d’heures travaillées </w:t>
      </w:r>
      <w:r w:rsidRPr="00F85D94">
        <w:rPr>
          <w:rFonts w:ascii="Arial" w:eastAsia="Times New Roman" w:hAnsi="Arial" w:cs="Arial"/>
          <w:bCs/>
          <w:sz w:val="20"/>
          <w:szCs w:val="20"/>
          <w:lang w:eastAsia="fr-FR"/>
        </w:rPr>
        <w:t>contribue</w:t>
      </w:r>
      <w:r w:rsidR="000A713D" w:rsidRPr="0064615D">
        <w:rPr>
          <w:rFonts w:ascii="Arial" w:eastAsia="Times New Roman" w:hAnsi="Arial" w:cs="Arial"/>
          <w:bCs/>
          <w:sz w:val="20"/>
          <w:szCs w:val="20"/>
          <w:lang w:eastAsia="fr-FR"/>
        </w:rPr>
        <w:t xml:space="preserve"> à l’amélioration de la qualité du service public, par des </w:t>
      </w:r>
      <w:r w:rsidRPr="00F85D94">
        <w:rPr>
          <w:rFonts w:ascii="Arial" w:eastAsia="Times New Roman" w:hAnsi="Arial" w:cs="Arial"/>
          <w:bCs/>
          <w:sz w:val="20"/>
          <w:szCs w:val="20"/>
          <w:lang w:eastAsia="fr-FR"/>
        </w:rPr>
        <w:t>extensions d’ouverture de service aux publics</w:t>
      </w:r>
      <w:r w:rsidR="000A713D" w:rsidRPr="0064615D">
        <w:rPr>
          <w:rFonts w:ascii="Arial" w:eastAsia="Times New Roman" w:hAnsi="Arial" w:cs="Arial"/>
          <w:bCs/>
          <w:sz w:val="20"/>
          <w:szCs w:val="20"/>
          <w:lang w:eastAsia="fr-FR"/>
        </w:rPr>
        <w:t xml:space="preserve"> ou par le renforcement du temps travaillé des agents de la collectivité. </w:t>
      </w:r>
      <w:r w:rsidRPr="00F85D94">
        <w:rPr>
          <w:rFonts w:ascii="Arial" w:eastAsia="Times New Roman" w:hAnsi="Arial" w:cs="Arial"/>
          <w:bCs/>
          <w:sz w:val="20"/>
          <w:szCs w:val="20"/>
          <w:lang w:eastAsia="fr-FR"/>
        </w:rPr>
        <w:t>Pour exemple, le centre municipal de santé accueille désormais des usagers sur le temps de la pause méridienne. Quant aux services techniques, ils augmentent leur temps de travail en particulier le mercredi afin de mieux réaliser leurs tâches dans les écoles primaires en dehors de la présence des élèves.</w:t>
      </w:r>
    </w:p>
    <w:p w14:paraId="74F57476" w14:textId="77777777" w:rsidR="002C48B8" w:rsidRDefault="00F85D94" w:rsidP="000A713D">
      <w:pPr>
        <w:jc w:val="both"/>
        <w:outlineLvl w:val="1"/>
        <w:rPr>
          <w:rFonts w:ascii="Arial" w:eastAsia="Times New Roman" w:hAnsi="Arial" w:cs="Arial"/>
          <w:bCs/>
          <w:sz w:val="20"/>
          <w:szCs w:val="20"/>
          <w:lang w:eastAsia="fr-FR"/>
        </w:rPr>
      </w:pPr>
      <w:r w:rsidRPr="00F85D94">
        <w:rPr>
          <w:rFonts w:ascii="Arial" w:eastAsia="Times New Roman" w:hAnsi="Arial" w:cs="Arial"/>
          <w:bCs/>
          <w:sz w:val="20"/>
          <w:szCs w:val="20"/>
          <w:lang w:eastAsia="fr-FR"/>
        </w:rPr>
        <w:lastRenderedPageBreak/>
        <w:t>En 2021, la commune a aussi procédé à la redéfinition des astreintes et de leur indemnisation, conformément aux recommandations de la Cour des Comptes. Cette redéfinition s’accompagne du strict respect du volume d’heures supplémentaires effectuées mensuellement par un agent.</w:t>
      </w:r>
    </w:p>
    <w:p w14:paraId="0781CAAE" w14:textId="77777777" w:rsidR="00D325CA" w:rsidRPr="0064615D" w:rsidRDefault="00D325CA" w:rsidP="000A713D">
      <w:pPr>
        <w:jc w:val="both"/>
        <w:outlineLvl w:val="1"/>
        <w:rPr>
          <w:rFonts w:ascii="Arial" w:eastAsia="Times New Roman" w:hAnsi="Arial" w:cs="Arial"/>
          <w:bCs/>
          <w:sz w:val="20"/>
          <w:szCs w:val="20"/>
          <w:lang w:eastAsia="fr-FR"/>
        </w:rPr>
      </w:pPr>
    </w:p>
    <w:p w14:paraId="194939C6" w14:textId="77777777" w:rsidR="006C43C3" w:rsidRDefault="00F85D94" w:rsidP="00E026CC">
      <w:pPr>
        <w:pStyle w:val="Paragraphedeliste"/>
        <w:numPr>
          <w:ilvl w:val="0"/>
          <w:numId w:val="11"/>
        </w:numPr>
        <w:jc w:val="both"/>
        <w:outlineLvl w:val="1"/>
        <w:rPr>
          <w:rFonts w:ascii="Arial" w:eastAsia="Times New Roman" w:hAnsi="Arial" w:cs="Arial"/>
          <w:bCs/>
          <w:sz w:val="20"/>
          <w:szCs w:val="20"/>
          <w:lang w:eastAsia="fr-FR"/>
        </w:rPr>
      </w:pPr>
      <w:r w:rsidRPr="00F85D94">
        <w:rPr>
          <w:rFonts w:ascii="Arial" w:eastAsia="Times New Roman" w:hAnsi="Arial" w:cs="Arial"/>
          <w:bCs/>
          <w:sz w:val="20"/>
          <w:szCs w:val="20"/>
          <w:lang w:eastAsia="fr-FR"/>
        </w:rPr>
        <w:t xml:space="preserve">La politique sociale </w:t>
      </w:r>
    </w:p>
    <w:p w14:paraId="293A1C20" w14:textId="77777777" w:rsidR="001206F4" w:rsidRPr="0064615D" w:rsidRDefault="001206F4" w:rsidP="001206F4">
      <w:pPr>
        <w:jc w:val="both"/>
        <w:outlineLvl w:val="1"/>
        <w:rPr>
          <w:rFonts w:ascii="Arial" w:eastAsia="Times New Roman" w:hAnsi="Arial" w:cs="Arial"/>
          <w:bCs/>
          <w:sz w:val="20"/>
          <w:szCs w:val="20"/>
          <w:lang w:eastAsia="fr-FR"/>
        </w:rPr>
      </w:pPr>
      <w:r w:rsidRPr="0064615D">
        <w:rPr>
          <w:rFonts w:ascii="Arial" w:eastAsia="Times New Roman" w:hAnsi="Arial" w:cs="Arial"/>
          <w:bCs/>
          <w:sz w:val="20"/>
          <w:szCs w:val="20"/>
          <w:lang w:eastAsia="fr-FR"/>
        </w:rPr>
        <w:t xml:space="preserve">2021 </w:t>
      </w:r>
      <w:r w:rsidR="00F85D94" w:rsidRPr="00F85D94">
        <w:rPr>
          <w:rFonts w:ascii="Arial" w:eastAsia="Times New Roman" w:hAnsi="Arial" w:cs="Arial"/>
          <w:bCs/>
          <w:sz w:val="20"/>
          <w:szCs w:val="20"/>
          <w:lang w:eastAsia="fr-FR"/>
        </w:rPr>
        <w:t xml:space="preserve">s’est </w:t>
      </w:r>
      <w:r w:rsidRPr="0064615D">
        <w:rPr>
          <w:rFonts w:ascii="Arial" w:eastAsia="Times New Roman" w:hAnsi="Arial" w:cs="Arial"/>
          <w:bCs/>
          <w:sz w:val="20"/>
          <w:szCs w:val="20"/>
          <w:lang w:eastAsia="fr-FR"/>
        </w:rPr>
        <w:t>caractéris</w:t>
      </w:r>
      <w:r w:rsidR="00F85D94" w:rsidRPr="00F85D94">
        <w:rPr>
          <w:rFonts w:ascii="Arial" w:eastAsia="Times New Roman" w:hAnsi="Arial" w:cs="Arial"/>
          <w:bCs/>
          <w:sz w:val="20"/>
          <w:szCs w:val="20"/>
          <w:lang w:eastAsia="fr-FR"/>
        </w:rPr>
        <w:t>ée</w:t>
      </w:r>
      <w:r w:rsidRPr="0064615D">
        <w:rPr>
          <w:rFonts w:ascii="Arial" w:eastAsia="Times New Roman" w:hAnsi="Arial" w:cs="Arial"/>
          <w:bCs/>
          <w:sz w:val="20"/>
          <w:szCs w:val="20"/>
          <w:lang w:eastAsia="fr-FR"/>
        </w:rPr>
        <w:t xml:space="preserve"> par la mise en place d’un nouveau régime indemnitaire (RIFSEEP), se traduisant </w:t>
      </w:r>
      <w:r w:rsidR="00F85D94" w:rsidRPr="00F85D94">
        <w:rPr>
          <w:rFonts w:ascii="Arial" w:eastAsia="Times New Roman" w:hAnsi="Arial" w:cs="Arial"/>
          <w:bCs/>
          <w:sz w:val="20"/>
          <w:szCs w:val="20"/>
          <w:lang w:eastAsia="fr-FR"/>
        </w:rPr>
        <w:t>à titre principal</w:t>
      </w:r>
      <w:r w:rsidRPr="0064615D">
        <w:rPr>
          <w:rFonts w:ascii="Arial" w:eastAsia="Times New Roman" w:hAnsi="Arial" w:cs="Arial"/>
          <w:bCs/>
          <w:sz w:val="20"/>
          <w:szCs w:val="20"/>
          <w:lang w:eastAsia="fr-FR"/>
        </w:rPr>
        <w:t xml:space="preserve"> par le relèvement </w:t>
      </w:r>
      <w:r w:rsidR="00F85D94" w:rsidRPr="00F85D94">
        <w:rPr>
          <w:rFonts w:ascii="Arial" w:eastAsia="Times New Roman" w:hAnsi="Arial" w:cs="Arial"/>
          <w:bCs/>
          <w:sz w:val="20"/>
          <w:szCs w:val="20"/>
          <w:lang w:eastAsia="fr-FR"/>
        </w:rPr>
        <w:t xml:space="preserve">des </w:t>
      </w:r>
      <w:r w:rsidRPr="0064615D">
        <w:rPr>
          <w:rFonts w:ascii="Arial" w:eastAsia="Times New Roman" w:hAnsi="Arial" w:cs="Arial"/>
          <w:bCs/>
          <w:sz w:val="20"/>
          <w:szCs w:val="20"/>
          <w:lang w:eastAsia="fr-FR"/>
        </w:rPr>
        <w:t xml:space="preserve">minimas pour un nombre important d’agents </w:t>
      </w:r>
      <w:r w:rsidR="00F85D94" w:rsidRPr="00F85D94">
        <w:rPr>
          <w:rFonts w:ascii="Arial" w:eastAsia="Times New Roman" w:hAnsi="Arial" w:cs="Arial"/>
          <w:bCs/>
          <w:sz w:val="20"/>
          <w:szCs w:val="20"/>
          <w:lang w:eastAsia="fr-FR"/>
        </w:rPr>
        <w:t>en majorité</w:t>
      </w:r>
      <w:r w:rsidRPr="0064615D">
        <w:rPr>
          <w:rFonts w:ascii="Arial" w:eastAsia="Times New Roman" w:hAnsi="Arial" w:cs="Arial"/>
          <w:bCs/>
          <w:sz w:val="20"/>
          <w:szCs w:val="20"/>
          <w:lang w:eastAsia="fr-FR"/>
        </w:rPr>
        <w:t xml:space="preserve"> de catégorie C. </w:t>
      </w:r>
    </w:p>
    <w:p w14:paraId="3555BE22" w14:textId="77777777" w:rsidR="001206F4" w:rsidRPr="0064615D" w:rsidRDefault="001206F4" w:rsidP="001206F4">
      <w:pPr>
        <w:jc w:val="both"/>
        <w:outlineLvl w:val="1"/>
        <w:rPr>
          <w:rFonts w:ascii="Arial" w:eastAsia="Times New Roman" w:hAnsi="Arial" w:cs="Arial"/>
          <w:bCs/>
          <w:sz w:val="20"/>
          <w:szCs w:val="20"/>
          <w:lang w:eastAsia="fr-FR"/>
        </w:rPr>
      </w:pPr>
      <w:r w:rsidRPr="0064615D">
        <w:rPr>
          <w:rFonts w:ascii="Arial" w:eastAsia="Times New Roman" w:hAnsi="Arial" w:cs="Arial"/>
          <w:bCs/>
          <w:sz w:val="20"/>
          <w:szCs w:val="20"/>
          <w:lang w:eastAsia="fr-FR"/>
        </w:rPr>
        <w:t xml:space="preserve">Cette mesure de 211 K€ </w:t>
      </w:r>
      <w:r w:rsidR="00F85D94" w:rsidRPr="00F85D94">
        <w:rPr>
          <w:rFonts w:ascii="Arial" w:eastAsia="Times New Roman" w:hAnsi="Arial" w:cs="Arial"/>
          <w:bCs/>
          <w:sz w:val="20"/>
          <w:szCs w:val="20"/>
          <w:lang w:eastAsia="fr-FR"/>
        </w:rPr>
        <w:t>a permis une mise en adéquation de l’existant avec les exigences réglementaires et une</w:t>
      </w:r>
      <w:r w:rsidRPr="0064615D">
        <w:rPr>
          <w:rFonts w:ascii="Arial" w:eastAsia="Times New Roman" w:hAnsi="Arial" w:cs="Arial"/>
          <w:bCs/>
          <w:sz w:val="20"/>
          <w:szCs w:val="20"/>
          <w:lang w:eastAsia="fr-FR"/>
        </w:rPr>
        <w:t xml:space="preserve"> majoration de l’enveloppe du régime indemnitaire. </w:t>
      </w:r>
      <w:r w:rsidR="00F85D94" w:rsidRPr="00F85D94">
        <w:rPr>
          <w:rFonts w:ascii="Arial" w:eastAsia="Times New Roman" w:hAnsi="Arial" w:cs="Arial"/>
          <w:bCs/>
          <w:sz w:val="20"/>
          <w:szCs w:val="20"/>
          <w:lang w:eastAsia="fr-FR"/>
        </w:rPr>
        <w:t>Pour autant il convient, sur 2022</w:t>
      </w:r>
      <w:r w:rsidR="00D009A8">
        <w:rPr>
          <w:rFonts w:ascii="Arial" w:eastAsia="Times New Roman" w:hAnsi="Arial" w:cs="Arial"/>
          <w:bCs/>
          <w:sz w:val="20"/>
          <w:szCs w:val="20"/>
          <w:lang w:eastAsia="fr-FR"/>
        </w:rPr>
        <w:t>,</w:t>
      </w:r>
      <w:r w:rsidR="00F85D94" w:rsidRPr="00F85D94">
        <w:rPr>
          <w:rFonts w:ascii="Arial" w:eastAsia="Times New Roman" w:hAnsi="Arial" w:cs="Arial"/>
          <w:bCs/>
          <w:sz w:val="20"/>
          <w:szCs w:val="20"/>
          <w:lang w:eastAsia="fr-FR"/>
        </w:rPr>
        <w:t xml:space="preserve"> d’aller plus loin, tant au bénéfice de l’organisation par l’ajustement des groupes fonctions à la modernisation de l’organisation en cours et la possibilité de déroulé y compris dans le régime indemnitaire, les prises de responsabilités et évolutions de carrière des agents, que de faciliter en étant compétitif sur le marché de l’emploi les</w:t>
      </w:r>
      <w:r w:rsidRPr="0064615D">
        <w:rPr>
          <w:rFonts w:ascii="Arial" w:eastAsia="Times New Roman" w:hAnsi="Arial" w:cs="Arial"/>
          <w:bCs/>
          <w:sz w:val="20"/>
          <w:szCs w:val="20"/>
          <w:lang w:eastAsia="fr-FR"/>
        </w:rPr>
        <w:t xml:space="preserve"> remplacements des personnels partant à la retraite</w:t>
      </w:r>
      <w:r w:rsidR="00F85D94" w:rsidRPr="00F85D94">
        <w:rPr>
          <w:rFonts w:ascii="Arial" w:eastAsia="Times New Roman" w:hAnsi="Arial" w:cs="Arial"/>
          <w:bCs/>
          <w:sz w:val="20"/>
          <w:szCs w:val="20"/>
          <w:lang w:eastAsia="fr-FR"/>
        </w:rPr>
        <w:t xml:space="preserve"> ou autres mobilités, en particulier sur des postes très recherchés.</w:t>
      </w:r>
    </w:p>
    <w:p w14:paraId="356BF545" w14:textId="77777777" w:rsidR="001206F4" w:rsidRPr="0064615D" w:rsidRDefault="00F85D94" w:rsidP="001206F4">
      <w:pPr>
        <w:jc w:val="both"/>
        <w:outlineLvl w:val="1"/>
        <w:rPr>
          <w:rFonts w:ascii="Arial" w:eastAsia="Times New Roman" w:hAnsi="Arial" w:cs="Arial"/>
          <w:bCs/>
          <w:sz w:val="20"/>
          <w:szCs w:val="20"/>
          <w:lang w:eastAsia="fr-FR"/>
        </w:rPr>
      </w:pPr>
      <w:r w:rsidRPr="00F85D94">
        <w:rPr>
          <w:rFonts w:ascii="Arial" w:eastAsia="Times New Roman" w:hAnsi="Arial" w:cs="Arial"/>
          <w:bCs/>
          <w:sz w:val="20"/>
          <w:szCs w:val="20"/>
          <w:lang w:eastAsia="fr-FR"/>
        </w:rPr>
        <w:t>Cette seconde étape dans la mise en œuvre du RIFSEEP induit une enveloppe de 300 k€ en année pleine, dont 150 k€ en 2022. Elle ne remet nullement en cause</w:t>
      </w:r>
      <w:r w:rsidR="00D009A8">
        <w:rPr>
          <w:rFonts w:ascii="Arial" w:eastAsia="Times New Roman" w:hAnsi="Arial" w:cs="Arial"/>
          <w:bCs/>
          <w:sz w:val="20"/>
          <w:szCs w:val="20"/>
          <w:lang w:eastAsia="fr-FR"/>
        </w:rPr>
        <w:t>,</w:t>
      </w:r>
      <w:r w:rsidRPr="00F85D94">
        <w:rPr>
          <w:rFonts w:ascii="Arial" w:eastAsia="Times New Roman" w:hAnsi="Arial" w:cs="Arial"/>
          <w:bCs/>
          <w:sz w:val="20"/>
          <w:szCs w:val="20"/>
          <w:lang w:eastAsia="fr-FR"/>
        </w:rPr>
        <w:t xml:space="preserve"> bien au contraire, la nécessité de</w:t>
      </w:r>
      <w:r w:rsidR="001206F4" w:rsidRPr="0064615D">
        <w:rPr>
          <w:rFonts w:ascii="Arial" w:eastAsia="Times New Roman" w:hAnsi="Arial" w:cs="Arial"/>
          <w:bCs/>
          <w:sz w:val="20"/>
          <w:szCs w:val="20"/>
          <w:lang w:eastAsia="fr-FR"/>
        </w:rPr>
        <w:t xml:space="preserve"> mutualisation de certaines fonctions, sans altération ou dégradation du service proposé aux habitants </w:t>
      </w:r>
      <w:r w:rsidRPr="00F85D94">
        <w:rPr>
          <w:rFonts w:ascii="Arial" w:eastAsia="Times New Roman" w:hAnsi="Arial" w:cs="Arial"/>
          <w:bCs/>
          <w:sz w:val="20"/>
          <w:szCs w:val="20"/>
          <w:lang w:eastAsia="fr-FR"/>
        </w:rPr>
        <w:t>et de modernisation globale de l’administration pour mieux répondre aux enjeux publics d’aujourd’hui</w:t>
      </w:r>
      <w:r w:rsidR="001206F4" w:rsidRPr="0064615D">
        <w:rPr>
          <w:rFonts w:ascii="Arial" w:eastAsia="Times New Roman" w:hAnsi="Arial" w:cs="Arial"/>
          <w:bCs/>
          <w:sz w:val="20"/>
          <w:szCs w:val="20"/>
          <w:lang w:eastAsia="fr-FR"/>
        </w:rPr>
        <w:t xml:space="preserve">. </w:t>
      </w:r>
    </w:p>
    <w:p w14:paraId="09AD2685" w14:textId="77777777" w:rsidR="008970B7" w:rsidRDefault="00F85D94" w:rsidP="001206F4">
      <w:pPr>
        <w:jc w:val="both"/>
        <w:outlineLvl w:val="1"/>
        <w:rPr>
          <w:rFonts w:ascii="Arial" w:eastAsia="Times New Roman" w:hAnsi="Arial" w:cs="Arial"/>
          <w:bCs/>
          <w:sz w:val="20"/>
          <w:szCs w:val="20"/>
          <w:lang w:eastAsia="fr-FR"/>
        </w:rPr>
      </w:pPr>
      <w:r w:rsidRPr="00F85D94">
        <w:rPr>
          <w:rFonts w:ascii="Arial" w:eastAsia="Times New Roman" w:hAnsi="Arial" w:cs="Arial"/>
          <w:bCs/>
          <w:sz w:val="20"/>
          <w:szCs w:val="20"/>
          <w:lang w:eastAsia="fr-FR"/>
        </w:rPr>
        <w:t>Le</w:t>
      </w:r>
      <w:r w:rsidR="001206F4" w:rsidRPr="0064615D">
        <w:rPr>
          <w:rFonts w:ascii="Arial" w:eastAsia="Times New Roman" w:hAnsi="Arial" w:cs="Arial"/>
          <w:bCs/>
          <w:sz w:val="20"/>
          <w:szCs w:val="20"/>
          <w:lang w:eastAsia="fr-FR"/>
        </w:rPr>
        <w:t xml:space="preserve"> double objectif </w:t>
      </w:r>
      <w:r w:rsidRPr="00F85D94">
        <w:rPr>
          <w:rFonts w:ascii="Arial" w:eastAsia="Times New Roman" w:hAnsi="Arial" w:cs="Arial"/>
          <w:bCs/>
          <w:sz w:val="20"/>
          <w:szCs w:val="20"/>
          <w:lang w:eastAsia="fr-FR"/>
        </w:rPr>
        <w:t>est maintenu :</w:t>
      </w:r>
      <w:r w:rsidR="001206F4" w:rsidRPr="0064615D">
        <w:rPr>
          <w:rFonts w:ascii="Arial" w:eastAsia="Times New Roman" w:hAnsi="Arial" w:cs="Arial"/>
          <w:bCs/>
          <w:sz w:val="20"/>
          <w:szCs w:val="20"/>
          <w:lang w:eastAsia="fr-FR"/>
        </w:rPr>
        <w:t xml:space="preserve"> renforcer l’action publique et assurer aux agents de la collectivité une rémunération plus élevée, </w:t>
      </w:r>
    </w:p>
    <w:p w14:paraId="52AB769C" w14:textId="77777777" w:rsidR="001206F4" w:rsidRPr="0064615D" w:rsidRDefault="008970B7" w:rsidP="001206F4">
      <w:pPr>
        <w:jc w:val="both"/>
        <w:outlineLvl w:val="1"/>
        <w:rPr>
          <w:rFonts w:ascii="Arial" w:eastAsia="Times New Roman" w:hAnsi="Arial" w:cs="Arial"/>
          <w:bCs/>
          <w:sz w:val="20"/>
          <w:szCs w:val="20"/>
          <w:lang w:eastAsia="fr-FR"/>
        </w:rPr>
      </w:pPr>
      <w:r w:rsidRPr="00F85D94">
        <w:rPr>
          <w:rFonts w:ascii="Arial" w:eastAsia="Times New Roman" w:hAnsi="Arial" w:cs="Arial"/>
          <w:bCs/>
          <w:sz w:val="20"/>
          <w:szCs w:val="20"/>
          <w:lang w:eastAsia="fr-FR"/>
        </w:rPr>
        <w:t>L</w:t>
      </w:r>
      <w:r w:rsidRPr="0064615D">
        <w:rPr>
          <w:rFonts w:ascii="Arial" w:eastAsia="Times New Roman" w:hAnsi="Arial" w:cs="Arial"/>
          <w:bCs/>
          <w:sz w:val="20"/>
          <w:szCs w:val="20"/>
          <w:lang w:eastAsia="fr-FR"/>
        </w:rPr>
        <w:t xml:space="preserve">a mise en place du Complément Indiciaire Annuel </w:t>
      </w:r>
      <w:r w:rsidRPr="00F85D94">
        <w:rPr>
          <w:rFonts w:ascii="Arial" w:eastAsia="Times New Roman" w:hAnsi="Arial" w:cs="Arial"/>
          <w:bCs/>
          <w:sz w:val="20"/>
          <w:szCs w:val="20"/>
          <w:lang w:eastAsia="fr-FR"/>
        </w:rPr>
        <w:t>(CIA</w:t>
      </w:r>
      <w:r w:rsidRPr="0064615D">
        <w:rPr>
          <w:rFonts w:ascii="Arial" w:eastAsia="Times New Roman" w:hAnsi="Arial" w:cs="Arial"/>
          <w:bCs/>
          <w:sz w:val="20"/>
          <w:szCs w:val="20"/>
          <w:lang w:eastAsia="fr-FR"/>
        </w:rPr>
        <w:t xml:space="preserve">) </w:t>
      </w:r>
      <w:r w:rsidR="00D009A8">
        <w:rPr>
          <w:rFonts w:ascii="Arial" w:eastAsia="Times New Roman" w:hAnsi="Arial" w:cs="Arial"/>
          <w:bCs/>
          <w:sz w:val="20"/>
          <w:szCs w:val="20"/>
          <w:lang w:eastAsia="fr-FR"/>
        </w:rPr>
        <w:t>reste à l’étude</w:t>
      </w:r>
      <w:r w:rsidRPr="00F85D94">
        <w:rPr>
          <w:rFonts w:ascii="Arial" w:eastAsia="Times New Roman" w:hAnsi="Arial" w:cs="Arial"/>
          <w:bCs/>
          <w:sz w:val="20"/>
          <w:szCs w:val="20"/>
          <w:lang w:eastAsia="fr-FR"/>
        </w:rPr>
        <w:t xml:space="preserve"> dans sa complétude d’application sachant qu’il est une obligation pour les collectivités mais pour autant doit être en adéquation avec l’organisation et les choix de valorisation induits. Il peut </w:t>
      </w:r>
      <w:r w:rsidRPr="0064615D">
        <w:rPr>
          <w:rFonts w:ascii="Arial" w:eastAsia="Times New Roman" w:hAnsi="Arial" w:cs="Arial"/>
          <w:bCs/>
          <w:sz w:val="20"/>
          <w:szCs w:val="20"/>
          <w:lang w:eastAsia="fr-FR"/>
        </w:rPr>
        <w:t>se traduire au maximum par une augmentation des indemnités annuelles de 10 % soit 260 K€</w:t>
      </w:r>
      <w:r w:rsidRPr="00F85D94">
        <w:rPr>
          <w:rFonts w:ascii="Arial" w:eastAsia="Times New Roman" w:hAnsi="Arial" w:cs="Arial"/>
          <w:bCs/>
          <w:sz w:val="20"/>
          <w:szCs w:val="20"/>
          <w:lang w:eastAsia="fr-FR"/>
        </w:rPr>
        <w:t xml:space="preserve">. La mise en place du CIA </w:t>
      </w:r>
      <w:proofErr w:type="gramStart"/>
      <w:r w:rsidRPr="00F85D94">
        <w:rPr>
          <w:rFonts w:ascii="Arial" w:eastAsia="Times New Roman" w:hAnsi="Arial" w:cs="Arial"/>
          <w:bCs/>
          <w:sz w:val="20"/>
          <w:szCs w:val="20"/>
          <w:lang w:eastAsia="fr-FR"/>
        </w:rPr>
        <w:t>est  envisagée</w:t>
      </w:r>
      <w:proofErr w:type="gramEnd"/>
      <w:r w:rsidRPr="00F85D94">
        <w:rPr>
          <w:rFonts w:ascii="Arial" w:eastAsia="Times New Roman" w:hAnsi="Arial" w:cs="Arial"/>
          <w:bCs/>
          <w:sz w:val="20"/>
          <w:szCs w:val="20"/>
          <w:lang w:eastAsia="fr-FR"/>
        </w:rPr>
        <w:t xml:space="preserve"> en 2023</w:t>
      </w:r>
      <w:r>
        <w:rPr>
          <w:rFonts w:ascii="Arial" w:eastAsia="Times New Roman" w:hAnsi="Arial" w:cs="Arial"/>
          <w:bCs/>
          <w:sz w:val="20"/>
          <w:szCs w:val="20"/>
          <w:lang w:eastAsia="fr-FR"/>
        </w:rPr>
        <w:t>.</w:t>
      </w:r>
    </w:p>
    <w:p w14:paraId="16F224A7" w14:textId="77777777" w:rsidR="001206F4" w:rsidRDefault="001206F4" w:rsidP="001206F4">
      <w:pPr>
        <w:jc w:val="both"/>
        <w:outlineLvl w:val="1"/>
        <w:rPr>
          <w:rFonts w:ascii="Arial" w:eastAsia="Times New Roman" w:hAnsi="Arial" w:cs="Arial"/>
          <w:bCs/>
          <w:sz w:val="20"/>
          <w:szCs w:val="20"/>
          <w:lang w:eastAsia="fr-FR"/>
        </w:rPr>
      </w:pPr>
      <w:r w:rsidRPr="005A34CD">
        <w:rPr>
          <w:rFonts w:ascii="Arial" w:eastAsia="Times New Roman" w:hAnsi="Arial" w:cs="Arial"/>
          <w:bCs/>
          <w:sz w:val="20"/>
          <w:szCs w:val="20"/>
          <w:lang w:eastAsia="fr-FR"/>
        </w:rPr>
        <w:t>Pour mémoire, rappelons que la politique sociale de la Ville comprend aussi le versement d’une prime annuelle de 1</w:t>
      </w:r>
      <w:r w:rsidR="00D35D7D">
        <w:rPr>
          <w:rFonts w:ascii="Arial" w:eastAsia="Times New Roman" w:hAnsi="Arial" w:cs="Arial"/>
          <w:bCs/>
          <w:sz w:val="20"/>
          <w:szCs w:val="20"/>
          <w:lang w:eastAsia="fr-FR"/>
        </w:rPr>
        <w:t xml:space="preserve"> </w:t>
      </w:r>
      <w:r w:rsidRPr="005A34CD">
        <w:rPr>
          <w:rFonts w:ascii="Arial" w:eastAsia="Times New Roman" w:hAnsi="Arial" w:cs="Arial"/>
          <w:bCs/>
          <w:sz w:val="20"/>
          <w:szCs w:val="20"/>
          <w:lang w:eastAsia="fr-FR"/>
        </w:rPr>
        <w:t>400 € versée à chaque agent exerçant à temps complet ou non complet, sur un emploi permanent, ainsi que l’accès au restaurant communal et d’autres actions comme les médailles du travail, les bons de vêtements, l’arbre de Noël des enfants du personnel</w:t>
      </w:r>
      <w:r>
        <w:rPr>
          <w:rFonts w:ascii="Arial" w:eastAsia="Times New Roman" w:hAnsi="Arial" w:cs="Arial"/>
          <w:bCs/>
          <w:sz w:val="20"/>
          <w:szCs w:val="20"/>
          <w:lang w:eastAsia="fr-FR"/>
        </w:rPr>
        <w:t xml:space="preserve"> </w:t>
      </w:r>
      <w:r w:rsidRPr="005A34CD">
        <w:rPr>
          <w:rFonts w:ascii="Arial" w:eastAsia="Times New Roman" w:hAnsi="Arial" w:cs="Arial"/>
          <w:bCs/>
          <w:sz w:val="20"/>
          <w:szCs w:val="20"/>
          <w:lang w:eastAsia="fr-FR"/>
        </w:rPr>
        <w:t>et, depuis le 1</w:t>
      </w:r>
      <w:r w:rsidRPr="005A34CD">
        <w:rPr>
          <w:rFonts w:ascii="Arial" w:eastAsia="Times New Roman" w:hAnsi="Arial" w:cs="Arial"/>
          <w:bCs/>
          <w:sz w:val="20"/>
          <w:szCs w:val="20"/>
          <w:vertAlign w:val="superscript"/>
          <w:lang w:eastAsia="fr-FR"/>
        </w:rPr>
        <w:t>er</w:t>
      </w:r>
      <w:r w:rsidRPr="005A34CD">
        <w:rPr>
          <w:rFonts w:ascii="Arial" w:eastAsia="Times New Roman" w:hAnsi="Arial" w:cs="Arial"/>
          <w:bCs/>
          <w:sz w:val="20"/>
          <w:szCs w:val="20"/>
          <w:lang w:eastAsia="fr-FR"/>
        </w:rPr>
        <w:t xml:space="preserve"> janvier 2020, la participation au financement de la mutuelle santé.</w:t>
      </w:r>
    </w:p>
    <w:p w14:paraId="6274D64F" w14:textId="77777777" w:rsidR="00822DEF" w:rsidRPr="00822DEF" w:rsidRDefault="00F85D94" w:rsidP="001206F4">
      <w:pPr>
        <w:jc w:val="both"/>
        <w:outlineLvl w:val="1"/>
        <w:rPr>
          <w:rFonts w:ascii="Arial" w:eastAsia="Times New Roman" w:hAnsi="Arial" w:cs="Arial"/>
          <w:bCs/>
          <w:color w:val="FF0000"/>
          <w:sz w:val="20"/>
          <w:szCs w:val="20"/>
          <w:lang w:eastAsia="fr-FR"/>
        </w:rPr>
      </w:pPr>
      <w:r w:rsidRPr="008970B7">
        <w:rPr>
          <w:rFonts w:ascii="Arial" w:eastAsia="Times New Roman" w:hAnsi="Arial" w:cs="Arial"/>
          <w:bCs/>
          <w:sz w:val="20"/>
          <w:szCs w:val="20"/>
          <w:lang w:eastAsia="fr-FR"/>
        </w:rPr>
        <w:t>Cette politique sociale sera enrichie des réflexions qui résulteront du débat que la collectivité engagera dès 2022 sur sa politique sociale, en matière de taux de participation de la ville aux frais complémentaires de santé des agents et de prévoyance</w:t>
      </w:r>
      <w:r w:rsidRPr="00F85D94">
        <w:rPr>
          <w:rFonts w:ascii="Arial" w:eastAsia="Times New Roman" w:hAnsi="Arial" w:cs="Arial"/>
          <w:bCs/>
          <w:color w:val="FF0000"/>
          <w:sz w:val="20"/>
          <w:szCs w:val="20"/>
          <w:lang w:eastAsia="fr-FR"/>
        </w:rPr>
        <w:t xml:space="preserve">. </w:t>
      </w:r>
    </w:p>
    <w:p w14:paraId="374E8505" w14:textId="77777777" w:rsidR="001206F4" w:rsidRDefault="001206F4" w:rsidP="001206F4">
      <w:pPr>
        <w:jc w:val="both"/>
        <w:outlineLvl w:val="1"/>
        <w:rPr>
          <w:rFonts w:ascii="Arial" w:eastAsia="Times New Roman" w:hAnsi="Arial" w:cs="Arial"/>
          <w:bCs/>
          <w:sz w:val="20"/>
          <w:szCs w:val="20"/>
          <w:lang w:eastAsia="fr-FR"/>
        </w:rPr>
      </w:pPr>
      <w:r w:rsidRPr="00536561">
        <w:rPr>
          <w:rFonts w:ascii="Arial" w:eastAsia="Times New Roman" w:hAnsi="Arial" w:cs="Arial"/>
          <w:bCs/>
          <w:sz w:val="20"/>
          <w:szCs w:val="20"/>
          <w:lang w:eastAsia="fr-FR"/>
        </w:rPr>
        <w:t>Enfin, conformément aux décisions gouvernementales, la ville a mis en place l’indemnité inflation en janvier 2022. Face à l’inflation constatée fin 2021 et à la hausse du prix de certains produits, notamment le carburant, cette aide est destinée à préserver le pouvoir d’achat des agents percevant une rémunération inférieure à 2</w:t>
      </w:r>
      <w:r w:rsidR="00D325CA">
        <w:rPr>
          <w:rFonts w:ascii="Arial" w:eastAsia="Times New Roman" w:hAnsi="Arial" w:cs="Arial"/>
          <w:bCs/>
          <w:sz w:val="20"/>
          <w:szCs w:val="20"/>
          <w:lang w:eastAsia="fr-FR"/>
        </w:rPr>
        <w:t xml:space="preserve"> </w:t>
      </w:r>
      <w:r w:rsidRPr="00536561">
        <w:rPr>
          <w:rFonts w:ascii="Arial" w:eastAsia="Times New Roman" w:hAnsi="Arial" w:cs="Arial"/>
          <w:bCs/>
          <w:sz w:val="20"/>
          <w:szCs w:val="20"/>
          <w:lang w:eastAsia="fr-FR"/>
        </w:rPr>
        <w:t>000</w:t>
      </w:r>
      <w:r>
        <w:rPr>
          <w:rFonts w:ascii="Arial" w:eastAsia="Times New Roman" w:hAnsi="Arial" w:cs="Arial"/>
          <w:bCs/>
          <w:sz w:val="20"/>
          <w:szCs w:val="20"/>
          <w:lang w:eastAsia="fr-FR"/>
        </w:rPr>
        <w:t xml:space="preserve"> </w:t>
      </w:r>
      <w:r w:rsidRPr="00536561">
        <w:rPr>
          <w:rFonts w:ascii="Arial" w:eastAsia="Times New Roman" w:hAnsi="Arial" w:cs="Arial"/>
          <w:bCs/>
          <w:sz w:val="20"/>
          <w:szCs w:val="20"/>
          <w:lang w:eastAsia="fr-FR"/>
        </w:rPr>
        <w:t xml:space="preserve">€ nets/mois et est </w:t>
      </w:r>
      <w:r>
        <w:rPr>
          <w:rFonts w:ascii="Arial" w:eastAsia="Times New Roman" w:hAnsi="Arial" w:cs="Arial"/>
          <w:bCs/>
          <w:sz w:val="20"/>
          <w:szCs w:val="20"/>
          <w:lang w:eastAsia="fr-FR"/>
        </w:rPr>
        <w:t>compensée intégralement</w:t>
      </w:r>
      <w:r w:rsidRPr="00536561">
        <w:rPr>
          <w:rFonts w:ascii="Arial" w:eastAsia="Times New Roman" w:hAnsi="Arial" w:cs="Arial"/>
          <w:bCs/>
          <w:sz w:val="20"/>
          <w:szCs w:val="20"/>
          <w:lang w:eastAsia="fr-FR"/>
        </w:rPr>
        <w:t xml:space="preserve"> par l’Etat.</w:t>
      </w:r>
      <w:r>
        <w:rPr>
          <w:rFonts w:ascii="Arial" w:eastAsia="Times New Roman" w:hAnsi="Arial" w:cs="Arial"/>
          <w:bCs/>
          <w:sz w:val="20"/>
          <w:szCs w:val="20"/>
          <w:lang w:eastAsia="fr-FR"/>
        </w:rPr>
        <w:t xml:space="preserve"> </w:t>
      </w:r>
      <w:r w:rsidRPr="00536561">
        <w:rPr>
          <w:rFonts w:ascii="Arial" w:eastAsia="Times New Roman" w:hAnsi="Arial" w:cs="Arial"/>
          <w:bCs/>
          <w:sz w:val="20"/>
          <w:szCs w:val="20"/>
          <w:lang w:eastAsia="fr-FR"/>
        </w:rPr>
        <w:t>Ce sont au total 455 agents qui ont perçu cette indemnité de 100 €, représentant donc un total de 45 500 €. </w:t>
      </w:r>
    </w:p>
    <w:p w14:paraId="5A51CF01" w14:textId="77777777" w:rsidR="00D325CA" w:rsidRDefault="00D325CA" w:rsidP="001206F4">
      <w:pPr>
        <w:jc w:val="both"/>
        <w:outlineLvl w:val="1"/>
        <w:rPr>
          <w:rFonts w:ascii="Arial" w:eastAsia="Times New Roman" w:hAnsi="Arial" w:cs="Arial"/>
          <w:bCs/>
          <w:sz w:val="20"/>
          <w:szCs w:val="20"/>
          <w:lang w:eastAsia="fr-FR"/>
        </w:rPr>
      </w:pPr>
    </w:p>
    <w:p w14:paraId="0F7F506D" w14:textId="77777777" w:rsidR="00D325CA" w:rsidRDefault="00D325CA" w:rsidP="001206F4">
      <w:pPr>
        <w:jc w:val="both"/>
        <w:outlineLvl w:val="1"/>
        <w:rPr>
          <w:rFonts w:ascii="Arial" w:eastAsia="Times New Roman" w:hAnsi="Arial" w:cs="Arial"/>
          <w:bCs/>
          <w:sz w:val="20"/>
          <w:szCs w:val="20"/>
          <w:lang w:eastAsia="fr-FR"/>
        </w:rPr>
      </w:pPr>
    </w:p>
    <w:p w14:paraId="223D3121" w14:textId="77777777" w:rsidR="00D325CA" w:rsidRDefault="00D325CA" w:rsidP="001206F4">
      <w:pPr>
        <w:jc w:val="both"/>
        <w:outlineLvl w:val="1"/>
        <w:rPr>
          <w:rFonts w:ascii="Arial" w:eastAsia="Times New Roman" w:hAnsi="Arial" w:cs="Arial"/>
          <w:bCs/>
          <w:sz w:val="20"/>
          <w:szCs w:val="20"/>
          <w:lang w:eastAsia="fr-FR"/>
        </w:rPr>
      </w:pPr>
    </w:p>
    <w:p w14:paraId="2DC80AB2" w14:textId="77777777" w:rsidR="006C43C3" w:rsidRDefault="00780B08" w:rsidP="00E026CC">
      <w:pPr>
        <w:pStyle w:val="Paragraphedeliste"/>
        <w:numPr>
          <w:ilvl w:val="0"/>
          <w:numId w:val="11"/>
        </w:numPr>
        <w:jc w:val="both"/>
        <w:outlineLvl w:val="1"/>
        <w:rPr>
          <w:rFonts w:ascii="Arial" w:eastAsia="Times New Roman" w:hAnsi="Arial" w:cs="Arial"/>
          <w:bCs/>
          <w:sz w:val="20"/>
          <w:szCs w:val="20"/>
          <w:lang w:eastAsia="fr-FR"/>
        </w:rPr>
      </w:pPr>
      <w:r w:rsidRPr="005A34CD">
        <w:rPr>
          <w:rFonts w:ascii="Arial" w:eastAsia="Times New Roman" w:hAnsi="Arial" w:cs="Arial"/>
          <w:bCs/>
          <w:sz w:val="20"/>
          <w:szCs w:val="20"/>
          <w:lang w:eastAsia="fr-FR"/>
        </w:rPr>
        <w:lastRenderedPageBreak/>
        <w:t xml:space="preserve">Les effectifs </w:t>
      </w:r>
      <w:r w:rsidR="00A8724C">
        <w:rPr>
          <w:rFonts w:ascii="Arial" w:eastAsia="Times New Roman" w:hAnsi="Arial" w:cs="Arial"/>
          <w:bCs/>
          <w:sz w:val="20"/>
          <w:szCs w:val="20"/>
          <w:lang w:eastAsia="fr-FR"/>
        </w:rPr>
        <w:t>et charges de personnel</w:t>
      </w:r>
    </w:p>
    <w:p w14:paraId="6E4F220F" w14:textId="77777777" w:rsidR="00D325CA" w:rsidRDefault="00D325CA" w:rsidP="00D325CA">
      <w:pPr>
        <w:pStyle w:val="Paragraphedeliste"/>
        <w:jc w:val="both"/>
        <w:outlineLvl w:val="1"/>
        <w:rPr>
          <w:rFonts w:ascii="Arial" w:eastAsia="Times New Roman" w:hAnsi="Arial" w:cs="Arial"/>
          <w:bCs/>
          <w:sz w:val="20"/>
          <w:szCs w:val="20"/>
          <w:lang w:eastAsia="fr-FR"/>
        </w:rPr>
      </w:pPr>
    </w:p>
    <w:tbl>
      <w:tblPr>
        <w:tblStyle w:val="Grilledutableau"/>
        <w:tblW w:w="0" w:type="auto"/>
        <w:tblLayout w:type="fixed"/>
        <w:tblLook w:val="04A0" w:firstRow="1" w:lastRow="0" w:firstColumn="1" w:lastColumn="0" w:noHBand="0" w:noVBand="1"/>
      </w:tblPr>
      <w:tblGrid>
        <w:gridCol w:w="1531"/>
        <w:gridCol w:w="964"/>
        <w:gridCol w:w="964"/>
        <w:gridCol w:w="964"/>
        <w:gridCol w:w="964"/>
        <w:gridCol w:w="964"/>
        <w:gridCol w:w="964"/>
        <w:gridCol w:w="964"/>
        <w:gridCol w:w="964"/>
      </w:tblGrid>
      <w:tr w:rsidR="007C502B" w:rsidRPr="00FE5EE8" w14:paraId="60661D93" w14:textId="77777777" w:rsidTr="00C8696D">
        <w:tc>
          <w:tcPr>
            <w:tcW w:w="1531" w:type="dxa"/>
            <w:tcBorders>
              <w:top w:val="nil"/>
              <w:left w:val="nil"/>
            </w:tcBorders>
          </w:tcPr>
          <w:p w14:paraId="6CDA79A8" w14:textId="77777777" w:rsidR="007C502B" w:rsidRPr="00FE5EE8" w:rsidRDefault="007C502B" w:rsidP="003C41B2">
            <w:pPr>
              <w:spacing w:before="60" w:after="60"/>
              <w:jc w:val="center"/>
              <w:outlineLvl w:val="1"/>
              <w:rPr>
                <w:rFonts w:ascii="Arial" w:eastAsia="Times New Roman" w:hAnsi="Arial" w:cs="Arial"/>
                <w:bCs/>
                <w:sz w:val="16"/>
                <w:szCs w:val="16"/>
                <w:lang w:eastAsia="fr-FR"/>
              </w:rPr>
            </w:pPr>
          </w:p>
        </w:tc>
        <w:tc>
          <w:tcPr>
            <w:tcW w:w="964" w:type="dxa"/>
          </w:tcPr>
          <w:p w14:paraId="147A0491" w14:textId="77777777" w:rsidR="007C502B" w:rsidRPr="00FE5EE8" w:rsidRDefault="00424EC6" w:rsidP="003C41B2">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 xml:space="preserve"> CA </w:t>
            </w:r>
            <w:r w:rsidR="007C502B" w:rsidRPr="00FE5EE8">
              <w:rPr>
                <w:rFonts w:ascii="Arial" w:eastAsia="Times New Roman" w:hAnsi="Arial" w:cs="Arial"/>
                <w:bCs/>
                <w:sz w:val="16"/>
                <w:szCs w:val="16"/>
                <w:lang w:eastAsia="fr-FR"/>
              </w:rPr>
              <w:t>2017</w:t>
            </w:r>
          </w:p>
        </w:tc>
        <w:tc>
          <w:tcPr>
            <w:tcW w:w="964" w:type="dxa"/>
          </w:tcPr>
          <w:p w14:paraId="280DDCC2" w14:textId="77777777" w:rsidR="007C502B" w:rsidRPr="00FE5EE8" w:rsidRDefault="007C502B" w:rsidP="003C41B2">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2018</w:t>
            </w:r>
          </w:p>
        </w:tc>
        <w:tc>
          <w:tcPr>
            <w:tcW w:w="964" w:type="dxa"/>
          </w:tcPr>
          <w:p w14:paraId="36DACD27" w14:textId="77777777" w:rsidR="007C502B" w:rsidRPr="00FE5EE8" w:rsidRDefault="007C502B" w:rsidP="003C41B2">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2019</w:t>
            </w:r>
          </w:p>
        </w:tc>
        <w:tc>
          <w:tcPr>
            <w:tcW w:w="964" w:type="dxa"/>
          </w:tcPr>
          <w:p w14:paraId="02FD205F" w14:textId="77777777" w:rsidR="007C502B" w:rsidRPr="00FE5EE8" w:rsidRDefault="007C502B" w:rsidP="003C41B2">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2020</w:t>
            </w:r>
          </w:p>
        </w:tc>
        <w:tc>
          <w:tcPr>
            <w:tcW w:w="964" w:type="dxa"/>
          </w:tcPr>
          <w:p w14:paraId="43CF8FC3" w14:textId="77777777" w:rsidR="007C502B" w:rsidRPr="00FE5EE8" w:rsidRDefault="00424EC6" w:rsidP="003C41B2">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 xml:space="preserve">BP </w:t>
            </w:r>
            <w:r w:rsidR="007C502B" w:rsidRPr="00FE5EE8">
              <w:rPr>
                <w:rFonts w:ascii="Arial" w:eastAsia="Times New Roman" w:hAnsi="Arial" w:cs="Arial"/>
                <w:bCs/>
                <w:sz w:val="16"/>
                <w:szCs w:val="16"/>
                <w:lang w:eastAsia="fr-FR"/>
              </w:rPr>
              <w:t>2021</w:t>
            </w:r>
          </w:p>
        </w:tc>
        <w:tc>
          <w:tcPr>
            <w:tcW w:w="964" w:type="dxa"/>
          </w:tcPr>
          <w:p w14:paraId="0CCB0EFA" w14:textId="77777777" w:rsidR="007C502B" w:rsidRPr="00FE5EE8" w:rsidRDefault="007C502B" w:rsidP="003C41B2">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2022</w:t>
            </w:r>
          </w:p>
        </w:tc>
        <w:tc>
          <w:tcPr>
            <w:tcW w:w="964" w:type="dxa"/>
          </w:tcPr>
          <w:p w14:paraId="650A3CD9" w14:textId="77777777" w:rsidR="007C502B" w:rsidRPr="00FE5EE8" w:rsidRDefault="007C502B" w:rsidP="003C41B2">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2023</w:t>
            </w:r>
          </w:p>
        </w:tc>
        <w:tc>
          <w:tcPr>
            <w:tcW w:w="964" w:type="dxa"/>
          </w:tcPr>
          <w:p w14:paraId="54CD3B3B" w14:textId="77777777" w:rsidR="007C502B" w:rsidRDefault="007C502B" w:rsidP="003C41B2">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2024</w:t>
            </w:r>
          </w:p>
        </w:tc>
      </w:tr>
      <w:tr w:rsidR="007C502B" w:rsidRPr="00FE5EE8" w14:paraId="4FE6B83C" w14:textId="77777777" w:rsidTr="0097020F">
        <w:tc>
          <w:tcPr>
            <w:tcW w:w="1531" w:type="dxa"/>
          </w:tcPr>
          <w:p w14:paraId="488973C2" w14:textId="0F0B9ACD" w:rsidR="007C502B" w:rsidRPr="00FE5EE8" w:rsidRDefault="007C502B" w:rsidP="003C41B2">
            <w:pPr>
              <w:spacing w:before="60" w:after="60"/>
              <w:ind w:right="-103"/>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Nbre d’agents sur poste p</w:t>
            </w:r>
            <w:r w:rsidR="00905299">
              <w:rPr>
                <w:rFonts w:ascii="Arial" w:eastAsia="Times New Roman" w:hAnsi="Arial" w:cs="Arial"/>
                <w:bCs/>
                <w:sz w:val="16"/>
                <w:szCs w:val="16"/>
                <w:lang w:eastAsia="fr-FR"/>
              </w:rPr>
              <w:t>er</w:t>
            </w:r>
            <w:r w:rsidRPr="00FE5EE8">
              <w:rPr>
                <w:rFonts w:ascii="Arial" w:eastAsia="Times New Roman" w:hAnsi="Arial" w:cs="Arial"/>
                <w:bCs/>
                <w:sz w:val="16"/>
                <w:szCs w:val="16"/>
                <w:lang w:eastAsia="fr-FR"/>
              </w:rPr>
              <w:t>manent (au 1</w:t>
            </w:r>
            <w:r w:rsidRPr="00FE5EE8">
              <w:rPr>
                <w:rFonts w:ascii="Arial" w:eastAsia="Times New Roman" w:hAnsi="Arial" w:cs="Arial"/>
                <w:bCs/>
                <w:sz w:val="16"/>
                <w:szCs w:val="16"/>
                <w:vertAlign w:val="superscript"/>
                <w:lang w:eastAsia="fr-FR"/>
              </w:rPr>
              <w:t>er</w:t>
            </w:r>
            <w:r w:rsidRPr="00FE5EE8">
              <w:rPr>
                <w:rFonts w:ascii="Arial" w:eastAsia="Times New Roman" w:hAnsi="Arial" w:cs="Arial"/>
                <w:bCs/>
                <w:sz w:val="16"/>
                <w:szCs w:val="16"/>
                <w:lang w:eastAsia="fr-FR"/>
              </w:rPr>
              <w:t xml:space="preserve"> janvier)</w:t>
            </w:r>
          </w:p>
        </w:tc>
        <w:tc>
          <w:tcPr>
            <w:tcW w:w="964" w:type="dxa"/>
            <w:vAlign w:val="center"/>
          </w:tcPr>
          <w:p w14:paraId="5C2AADC5" w14:textId="77777777" w:rsidR="007C502B" w:rsidRPr="00FE5EE8" w:rsidRDefault="007C502B" w:rsidP="003C41B2">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536</w:t>
            </w:r>
          </w:p>
        </w:tc>
        <w:tc>
          <w:tcPr>
            <w:tcW w:w="964" w:type="dxa"/>
            <w:vAlign w:val="center"/>
          </w:tcPr>
          <w:p w14:paraId="6C5945AA" w14:textId="77777777" w:rsidR="007C502B" w:rsidRPr="00FE5EE8" w:rsidRDefault="007C502B" w:rsidP="003C41B2">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531</w:t>
            </w:r>
          </w:p>
        </w:tc>
        <w:tc>
          <w:tcPr>
            <w:tcW w:w="964" w:type="dxa"/>
            <w:vAlign w:val="center"/>
          </w:tcPr>
          <w:p w14:paraId="37D28890" w14:textId="77777777" w:rsidR="007C502B" w:rsidRPr="00FE5EE8" w:rsidRDefault="007C502B" w:rsidP="003C41B2">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541</w:t>
            </w:r>
          </w:p>
        </w:tc>
        <w:tc>
          <w:tcPr>
            <w:tcW w:w="964" w:type="dxa"/>
            <w:vAlign w:val="center"/>
          </w:tcPr>
          <w:p w14:paraId="22CDD541" w14:textId="77777777" w:rsidR="007C502B" w:rsidRPr="00FE5EE8" w:rsidRDefault="007C502B" w:rsidP="003C41B2">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575</w:t>
            </w:r>
          </w:p>
        </w:tc>
        <w:tc>
          <w:tcPr>
            <w:tcW w:w="964" w:type="dxa"/>
            <w:vAlign w:val="center"/>
          </w:tcPr>
          <w:p w14:paraId="4D7AE964" w14:textId="77777777" w:rsidR="007C502B" w:rsidRPr="003054DD" w:rsidRDefault="007C502B" w:rsidP="003C41B2">
            <w:pPr>
              <w:spacing w:before="60" w:after="60"/>
              <w:jc w:val="center"/>
              <w:outlineLvl w:val="1"/>
              <w:rPr>
                <w:rFonts w:ascii="Arial" w:eastAsia="Times New Roman" w:hAnsi="Arial" w:cs="Arial"/>
                <w:bCs/>
                <w:sz w:val="16"/>
                <w:szCs w:val="16"/>
                <w:lang w:eastAsia="fr-FR"/>
              </w:rPr>
            </w:pPr>
            <w:r w:rsidRPr="003054DD">
              <w:rPr>
                <w:rFonts w:ascii="Arial" w:eastAsia="Times New Roman" w:hAnsi="Arial" w:cs="Arial"/>
                <w:bCs/>
                <w:sz w:val="16"/>
                <w:szCs w:val="16"/>
                <w:lang w:eastAsia="fr-FR"/>
              </w:rPr>
              <w:t>5</w:t>
            </w:r>
            <w:r w:rsidR="00EE600A">
              <w:rPr>
                <w:rFonts w:ascii="Arial" w:eastAsia="Times New Roman" w:hAnsi="Arial" w:cs="Arial"/>
                <w:bCs/>
                <w:sz w:val="16"/>
                <w:szCs w:val="16"/>
                <w:lang w:eastAsia="fr-FR"/>
              </w:rPr>
              <w:t>75</w:t>
            </w:r>
          </w:p>
        </w:tc>
        <w:tc>
          <w:tcPr>
            <w:tcW w:w="964" w:type="dxa"/>
            <w:vAlign w:val="center"/>
          </w:tcPr>
          <w:p w14:paraId="7F5885CE" w14:textId="116B6A90" w:rsidR="007C502B" w:rsidRPr="0097020F" w:rsidRDefault="008D1062" w:rsidP="003C41B2">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605</w:t>
            </w:r>
          </w:p>
        </w:tc>
        <w:tc>
          <w:tcPr>
            <w:tcW w:w="964" w:type="dxa"/>
            <w:vAlign w:val="center"/>
          </w:tcPr>
          <w:p w14:paraId="02121FEF" w14:textId="6A791C97" w:rsidR="007C502B" w:rsidRPr="007B02E0" w:rsidRDefault="008D1062" w:rsidP="00973EC4">
            <w:pPr>
              <w:spacing w:before="60" w:after="60"/>
              <w:jc w:val="center"/>
              <w:outlineLvl w:val="1"/>
              <w:rPr>
                <w:rFonts w:ascii="Arial" w:eastAsia="Times New Roman" w:hAnsi="Arial" w:cs="Arial"/>
                <w:bCs/>
                <w:color w:val="FF0000"/>
                <w:sz w:val="16"/>
                <w:szCs w:val="16"/>
                <w:lang w:eastAsia="fr-FR"/>
              </w:rPr>
            </w:pPr>
            <w:r>
              <w:rPr>
                <w:rFonts w:ascii="Arial" w:eastAsia="Times New Roman" w:hAnsi="Arial" w:cs="Arial"/>
                <w:bCs/>
                <w:sz w:val="16"/>
                <w:szCs w:val="16"/>
                <w:lang w:eastAsia="fr-FR"/>
              </w:rPr>
              <w:t>630</w:t>
            </w:r>
          </w:p>
        </w:tc>
        <w:tc>
          <w:tcPr>
            <w:tcW w:w="964" w:type="dxa"/>
            <w:vAlign w:val="center"/>
          </w:tcPr>
          <w:p w14:paraId="0C5FBD1D" w14:textId="6434EF28" w:rsidR="007C502B" w:rsidRPr="003054DD" w:rsidRDefault="008D1062" w:rsidP="0097020F">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650</w:t>
            </w:r>
          </w:p>
        </w:tc>
      </w:tr>
      <w:tr w:rsidR="007C502B" w:rsidRPr="00FE5EE8" w14:paraId="77754702" w14:textId="77777777" w:rsidTr="0097020F">
        <w:tc>
          <w:tcPr>
            <w:tcW w:w="1531" w:type="dxa"/>
          </w:tcPr>
          <w:p w14:paraId="6136B731" w14:textId="77777777" w:rsidR="007C502B" w:rsidRPr="00FE5EE8" w:rsidRDefault="007C502B" w:rsidP="003C41B2">
            <w:pPr>
              <w:spacing w:before="60" w:after="60"/>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Nombre de postes en ETP</w:t>
            </w:r>
          </w:p>
        </w:tc>
        <w:tc>
          <w:tcPr>
            <w:tcW w:w="964" w:type="dxa"/>
            <w:vAlign w:val="center"/>
          </w:tcPr>
          <w:p w14:paraId="0B1EC8D1" w14:textId="77777777" w:rsidR="007C502B" w:rsidRPr="00FE5EE8" w:rsidRDefault="007C502B" w:rsidP="003C41B2">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523,</w:t>
            </w:r>
            <w:r w:rsidRPr="00FE5EE8">
              <w:rPr>
                <w:rFonts w:ascii="Arial" w:eastAsia="Times New Roman" w:hAnsi="Arial" w:cs="Arial"/>
                <w:bCs/>
                <w:sz w:val="16"/>
                <w:szCs w:val="16"/>
                <w:lang w:eastAsia="fr-FR"/>
              </w:rPr>
              <w:t>60</w:t>
            </w:r>
          </w:p>
        </w:tc>
        <w:tc>
          <w:tcPr>
            <w:tcW w:w="964" w:type="dxa"/>
            <w:vAlign w:val="center"/>
          </w:tcPr>
          <w:p w14:paraId="370AB0A0" w14:textId="77777777" w:rsidR="007C502B" w:rsidRPr="00FE5EE8" w:rsidRDefault="007C502B" w:rsidP="003C41B2">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523,</w:t>
            </w:r>
            <w:r w:rsidRPr="00FE5EE8">
              <w:rPr>
                <w:rFonts w:ascii="Arial" w:eastAsia="Times New Roman" w:hAnsi="Arial" w:cs="Arial"/>
                <w:bCs/>
                <w:sz w:val="16"/>
                <w:szCs w:val="16"/>
                <w:lang w:eastAsia="fr-FR"/>
              </w:rPr>
              <w:t>40</w:t>
            </w:r>
          </w:p>
        </w:tc>
        <w:tc>
          <w:tcPr>
            <w:tcW w:w="964" w:type="dxa"/>
            <w:vAlign w:val="center"/>
          </w:tcPr>
          <w:p w14:paraId="3026B488" w14:textId="77777777" w:rsidR="007C502B" w:rsidRPr="00FE5EE8" w:rsidRDefault="007C502B" w:rsidP="003C41B2">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535,</w:t>
            </w:r>
            <w:r w:rsidRPr="00FE5EE8">
              <w:rPr>
                <w:rFonts w:ascii="Arial" w:eastAsia="Times New Roman" w:hAnsi="Arial" w:cs="Arial"/>
                <w:bCs/>
                <w:sz w:val="16"/>
                <w:szCs w:val="16"/>
                <w:lang w:eastAsia="fr-FR"/>
              </w:rPr>
              <w:t>50</w:t>
            </w:r>
          </w:p>
        </w:tc>
        <w:tc>
          <w:tcPr>
            <w:tcW w:w="964" w:type="dxa"/>
            <w:vAlign w:val="center"/>
          </w:tcPr>
          <w:p w14:paraId="57E8870B" w14:textId="77777777" w:rsidR="007C502B" w:rsidRPr="00FE5EE8" w:rsidRDefault="007C502B" w:rsidP="003C41B2">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565,6</w:t>
            </w:r>
            <w:r w:rsidRPr="00FE5EE8">
              <w:rPr>
                <w:rFonts w:ascii="Arial" w:eastAsia="Times New Roman" w:hAnsi="Arial" w:cs="Arial"/>
                <w:bCs/>
                <w:sz w:val="16"/>
                <w:szCs w:val="16"/>
                <w:lang w:eastAsia="fr-FR"/>
              </w:rPr>
              <w:t>0</w:t>
            </w:r>
          </w:p>
        </w:tc>
        <w:tc>
          <w:tcPr>
            <w:tcW w:w="964" w:type="dxa"/>
            <w:vAlign w:val="center"/>
          </w:tcPr>
          <w:p w14:paraId="0E918F56" w14:textId="77777777" w:rsidR="007C502B" w:rsidRPr="00FB77C2" w:rsidRDefault="007C502B" w:rsidP="00292B2B">
            <w:pPr>
              <w:spacing w:before="60" w:after="60"/>
              <w:jc w:val="center"/>
              <w:outlineLvl w:val="1"/>
              <w:rPr>
                <w:rFonts w:ascii="Arial" w:eastAsia="Times New Roman" w:hAnsi="Arial" w:cs="Arial"/>
                <w:bCs/>
                <w:sz w:val="16"/>
                <w:szCs w:val="16"/>
                <w:lang w:eastAsia="fr-FR"/>
              </w:rPr>
            </w:pPr>
            <w:r w:rsidRPr="00FB77C2">
              <w:rPr>
                <w:rFonts w:ascii="Arial" w:eastAsia="Times New Roman" w:hAnsi="Arial" w:cs="Arial"/>
                <w:bCs/>
                <w:sz w:val="16"/>
                <w:szCs w:val="16"/>
                <w:lang w:eastAsia="fr-FR"/>
              </w:rPr>
              <w:t>568,80</w:t>
            </w:r>
          </w:p>
        </w:tc>
        <w:tc>
          <w:tcPr>
            <w:tcW w:w="964" w:type="dxa"/>
            <w:vAlign w:val="center"/>
          </w:tcPr>
          <w:p w14:paraId="01347DA9" w14:textId="2FA0A004" w:rsidR="007C502B" w:rsidRPr="00FB77C2" w:rsidRDefault="008D1062" w:rsidP="003C41B2">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589</w:t>
            </w:r>
          </w:p>
        </w:tc>
        <w:tc>
          <w:tcPr>
            <w:tcW w:w="964" w:type="dxa"/>
            <w:vAlign w:val="center"/>
          </w:tcPr>
          <w:p w14:paraId="55C55E56" w14:textId="06C43672" w:rsidR="007C502B" w:rsidRPr="00FB77C2" w:rsidRDefault="008D1062" w:rsidP="00973EC4">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614</w:t>
            </w:r>
          </w:p>
        </w:tc>
        <w:tc>
          <w:tcPr>
            <w:tcW w:w="964" w:type="dxa"/>
            <w:vAlign w:val="center"/>
          </w:tcPr>
          <w:p w14:paraId="0FC0EDF3" w14:textId="035C6BDD" w:rsidR="007C502B" w:rsidRPr="00FB77C2" w:rsidRDefault="008D1062" w:rsidP="0097020F">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630</w:t>
            </w:r>
          </w:p>
        </w:tc>
      </w:tr>
      <w:tr w:rsidR="007C502B" w:rsidRPr="00FE5EE8" w14:paraId="6B2B4B20" w14:textId="77777777" w:rsidTr="00735ACA">
        <w:tc>
          <w:tcPr>
            <w:tcW w:w="1531" w:type="dxa"/>
          </w:tcPr>
          <w:p w14:paraId="69321FB8" w14:textId="77777777" w:rsidR="007C502B" w:rsidRPr="00FE5EE8" w:rsidRDefault="007C502B" w:rsidP="003C41B2">
            <w:pPr>
              <w:spacing w:before="60" w:after="60"/>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Charges de personnel (BP) en K€</w:t>
            </w:r>
            <w:r>
              <w:rPr>
                <w:rFonts w:ascii="Arial" w:eastAsia="Times New Roman" w:hAnsi="Arial" w:cs="Arial"/>
                <w:bCs/>
                <w:sz w:val="16"/>
                <w:szCs w:val="16"/>
                <w:lang w:eastAsia="fr-FR"/>
              </w:rPr>
              <w:t xml:space="preserve"> (1)</w:t>
            </w:r>
          </w:p>
        </w:tc>
        <w:tc>
          <w:tcPr>
            <w:tcW w:w="964" w:type="dxa"/>
            <w:vAlign w:val="center"/>
          </w:tcPr>
          <w:p w14:paraId="42F7C9C2" w14:textId="77777777" w:rsidR="007C502B" w:rsidRPr="00FE5EE8" w:rsidRDefault="00424EC6" w:rsidP="00201BA3">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25 494</w:t>
            </w:r>
          </w:p>
        </w:tc>
        <w:tc>
          <w:tcPr>
            <w:tcW w:w="964" w:type="dxa"/>
            <w:vAlign w:val="center"/>
          </w:tcPr>
          <w:p w14:paraId="3703F13E" w14:textId="77777777" w:rsidR="007C502B" w:rsidRPr="00FE5EE8" w:rsidRDefault="007C502B" w:rsidP="00424EC6">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 xml:space="preserve">25 </w:t>
            </w:r>
            <w:r w:rsidR="00424EC6">
              <w:rPr>
                <w:rFonts w:ascii="Arial" w:eastAsia="Times New Roman" w:hAnsi="Arial" w:cs="Arial"/>
                <w:bCs/>
                <w:sz w:val="16"/>
                <w:szCs w:val="16"/>
                <w:lang w:eastAsia="fr-FR"/>
              </w:rPr>
              <w:t>406</w:t>
            </w:r>
          </w:p>
        </w:tc>
        <w:tc>
          <w:tcPr>
            <w:tcW w:w="964" w:type="dxa"/>
            <w:vAlign w:val="center"/>
          </w:tcPr>
          <w:p w14:paraId="2D4AA23A" w14:textId="77777777" w:rsidR="007C502B" w:rsidRPr="00FE5EE8" w:rsidRDefault="007C502B" w:rsidP="00424EC6">
            <w:pPr>
              <w:spacing w:before="60" w:after="60"/>
              <w:jc w:val="center"/>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 xml:space="preserve">25 </w:t>
            </w:r>
            <w:r w:rsidR="00424EC6">
              <w:rPr>
                <w:rFonts w:ascii="Arial" w:eastAsia="Times New Roman" w:hAnsi="Arial" w:cs="Arial"/>
                <w:bCs/>
                <w:sz w:val="16"/>
                <w:szCs w:val="16"/>
                <w:lang w:eastAsia="fr-FR"/>
              </w:rPr>
              <w:t>036</w:t>
            </w:r>
          </w:p>
        </w:tc>
        <w:tc>
          <w:tcPr>
            <w:tcW w:w="964" w:type="dxa"/>
            <w:vAlign w:val="center"/>
          </w:tcPr>
          <w:p w14:paraId="233E6895" w14:textId="77777777" w:rsidR="007C502B" w:rsidRPr="00FE5EE8" w:rsidRDefault="00424EC6" w:rsidP="003C41B2">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24 989</w:t>
            </w:r>
          </w:p>
        </w:tc>
        <w:tc>
          <w:tcPr>
            <w:tcW w:w="964" w:type="dxa"/>
            <w:vAlign w:val="center"/>
          </w:tcPr>
          <w:p w14:paraId="2C3EE9FB" w14:textId="77777777" w:rsidR="007C502B" w:rsidRPr="003054DD" w:rsidRDefault="007C502B" w:rsidP="00424EC6">
            <w:pPr>
              <w:spacing w:before="60" w:after="60"/>
              <w:jc w:val="center"/>
              <w:outlineLvl w:val="1"/>
              <w:rPr>
                <w:rFonts w:ascii="Arial" w:eastAsia="Times New Roman" w:hAnsi="Arial" w:cs="Arial"/>
                <w:bCs/>
                <w:sz w:val="16"/>
                <w:szCs w:val="16"/>
                <w:lang w:eastAsia="fr-FR"/>
              </w:rPr>
            </w:pPr>
            <w:r w:rsidRPr="003054DD">
              <w:rPr>
                <w:rFonts w:ascii="Arial" w:eastAsia="Times New Roman" w:hAnsi="Arial" w:cs="Arial"/>
                <w:bCs/>
                <w:sz w:val="16"/>
                <w:szCs w:val="16"/>
                <w:lang w:eastAsia="fr-FR"/>
              </w:rPr>
              <w:t>25 9</w:t>
            </w:r>
            <w:r w:rsidR="00424EC6">
              <w:rPr>
                <w:rFonts w:ascii="Arial" w:eastAsia="Times New Roman" w:hAnsi="Arial" w:cs="Arial"/>
                <w:bCs/>
                <w:sz w:val="16"/>
                <w:szCs w:val="16"/>
                <w:lang w:eastAsia="fr-FR"/>
              </w:rPr>
              <w:t>87</w:t>
            </w:r>
          </w:p>
        </w:tc>
        <w:tc>
          <w:tcPr>
            <w:tcW w:w="964" w:type="dxa"/>
            <w:vAlign w:val="center"/>
          </w:tcPr>
          <w:p w14:paraId="04A31176" w14:textId="77777777" w:rsidR="007C502B" w:rsidRPr="00735ACA" w:rsidRDefault="00735ACA" w:rsidP="003C41B2">
            <w:pPr>
              <w:spacing w:before="60" w:after="60"/>
              <w:jc w:val="center"/>
              <w:outlineLvl w:val="1"/>
              <w:rPr>
                <w:rFonts w:ascii="Arial" w:eastAsia="Times New Roman" w:hAnsi="Arial" w:cs="Arial"/>
                <w:bCs/>
                <w:sz w:val="16"/>
                <w:szCs w:val="16"/>
                <w:lang w:eastAsia="fr-FR"/>
              </w:rPr>
            </w:pPr>
            <w:r w:rsidRPr="00735ACA">
              <w:rPr>
                <w:rFonts w:ascii="Arial" w:eastAsia="Times New Roman" w:hAnsi="Arial" w:cs="Arial"/>
                <w:bCs/>
                <w:sz w:val="16"/>
                <w:szCs w:val="16"/>
                <w:lang w:eastAsia="fr-FR"/>
              </w:rPr>
              <w:t>26 765</w:t>
            </w:r>
          </w:p>
        </w:tc>
        <w:tc>
          <w:tcPr>
            <w:tcW w:w="964" w:type="dxa"/>
            <w:vAlign w:val="center"/>
          </w:tcPr>
          <w:p w14:paraId="7EE19615" w14:textId="77777777" w:rsidR="007C502B" w:rsidRPr="00735ACA" w:rsidRDefault="00735ACA" w:rsidP="00EB7CB2">
            <w:pPr>
              <w:spacing w:before="60" w:after="60"/>
              <w:jc w:val="center"/>
              <w:outlineLvl w:val="1"/>
              <w:rPr>
                <w:rFonts w:ascii="Arial" w:eastAsia="Times New Roman" w:hAnsi="Arial" w:cs="Arial"/>
                <w:bCs/>
                <w:sz w:val="16"/>
                <w:szCs w:val="16"/>
                <w:lang w:eastAsia="fr-FR"/>
              </w:rPr>
            </w:pPr>
            <w:r w:rsidRPr="00735ACA">
              <w:rPr>
                <w:rFonts w:ascii="Arial" w:eastAsia="Times New Roman" w:hAnsi="Arial" w:cs="Arial"/>
                <w:bCs/>
                <w:sz w:val="16"/>
                <w:szCs w:val="16"/>
                <w:lang w:eastAsia="fr-FR"/>
              </w:rPr>
              <w:t>27 415</w:t>
            </w:r>
          </w:p>
        </w:tc>
        <w:tc>
          <w:tcPr>
            <w:tcW w:w="964" w:type="dxa"/>
            <w:vAlign w:val="center"/>
          </w:tcPr>
          <w:p w14:paraId="2F47A901" w14:textId="77777777" w:rsidR="007C502B" w:rsidRPr="003054DD" w:rsidRDefault="00735ACA" w:rsidP="00735ACA">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27 815</w:t>
            </w:r>
          </w:p>
        </w:tc>
      </w:tr>
      <w:tr w:rsidR="007C502B" w:rsidRPr="00FE5EE8" w14:paraId="775CA38B" w14:textId="77777777" w:rsidTr="00C8696D">
        <w:tc>
          <w:tcPr>
            <w:tcW w:w="1531" w:type="dxa"/>
          </w:tcPr>
          <w:p w14:paraId="76EDFA91" w14:textId="77777777" w:rsidR="007C502B" w:rsidRPr="00FE5EE8" w:rsidRDefault="007C502B" w:rsidP="00201BA3">
            <w:pPr>
              <w:spacing w:before="60" w:after="60"/>
              <w:outlineLvl w:val="1"/>
              <w:rPr>
                <w:rFonts w:ascii="Arial" w:eastAsia="Times New Roman" w:hAnsi="Arial" w:cs="Arial"/>
                <w:bCs/>
                <w:sz w:val="16"/>
                <w:szCs w:val="16"/>
                <w:lang w:eastAsia="fr-FR"/>
              </w:rPr>
            </w:pPr>
            <w:r w:rsidRPr="00FE5EE8">
              <w:rPr>
                <w:rFonts w:ascii="Arial" w:eastAsia="Times New Roman" w:hAnsi="Arial" w:cs="Arial"/>
                <w:bCs/>
                <w:sz w:val="16"/>
                <w:szCs w:val="16"/>
                <w:lang w:eastAsia="fr-FR"/>
              </w:rPr>
              <w:t>Evolution</w:t>
            </w:r>
          </w:p>
        </w:tc>
        <w:tc>
          <w:tcPr>
            <w:tcW w:w="964" w:type="dxa"/>
            <w:vAlign w:val="center"/>
          </w:tcPr>
          <w:p w14:paraId="22B274E7" w14:textId="77777777" w:rsidR="007C502B" w:rsidRPr="00FE5EE8" w:rsidRDefault="007C502B" w:rsidP="003C41B2">
            <w:pPr>
              <w:spacing w:before="60" w:after="60"/>
              <w:jc w:val="center"/>
              <w:outlineLvl w:val="1"/>
              <w:rPr>
                <w:rFonts w:ascii="Arial" w:eastAsia="Times New Roman" w:hAnsi="Arial" w:cs="Arial"/>
                <w:bCs/>
                <w:sz w:val="16"/>
                <w:szCs w:val="16"/>
                <w:lang w:eastAsia="fr-FR"/>
              </w:rPr>
            </w:pPr>
          </w:p>
        </w:tc>
        <w:tc>
          <w:tcPr>
            <w:tcW w:w="964" w:type="dxa"/>
            <w:vAlign w:val="center"/>
          </w:tcPr>
          <w:p w14:paraId="333B8EDF" w14:textId="77777777" w:rsidR="007C502B" w:rsidRPr="00FE5EE8" w:rsidRDefault="00424EC6" w:rsidP="003C41B2">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- 0,35</w:t>
            </w:r>
            <w:r w:rsidR="007C502B" w:rsidRPr="00FE5EE8">
              <w:rPr>
                <w:rFonts w:ascii="Arial" w:eastAsia="Times New Roman" w:hAnsi="Arial" w:cs="Arial"/>
                <w:bCs/>
                <w:sz w:val="16"/>
                <w:szCs w:val="16"/>
                <w:lang w:eastAsia="fr-FR"/>
              </w:rPr>
              <w:t>%</w:t>
            </w:r>
          </w:p>
        </w:tc>
        <w:tc>
          <w:tcPr>
            <w:tcW w:w="964" w:type="dxa"/>
            <w:vAlign w:val="center"/>
          </w:tcPr>
          <w:p w14:paraId="0EE4C965" w14:textId="77777777" w:rsidR="007C502B" w:rsidRPr="00FE5EE8" w:rsidRDefault="00424EC6" w:rsidP="003C41B2">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- 1,46</w:t>
            </w:r>
            <w:r w:rsidR="007C502B" w:rsidRPr="00FE5EE8">
              <w:rPr>
                <w:rFonts w:ascii="Arial" w:eastAsia="Times New Roman" w:hAnsi="Arial" w:cs="Arial"/>
                <w:bCs/>
                <w:sz w:val="16"/>
                <w:szCs w:val="16"/>
                <w:lang w:eastAsia="fr-FR"/>
              </w:rPr>
              <w:t>%</w:t>
            </w:r>
          </w:p>
        </w:tc>
        <w:tc>
          <w:tcPr>
            <w:tcW w:w="964" w:type="dxa"/>
            <w:vAlign w:val="center"/>
          </w:tcPr>
          <w:p w14:paraId="7A0EECFF" w14:textId="77777777" w:rsidR="007C502B" w:rsidRPr="00FE5EE8" w:rsidRDefault="00424EC6" w:rsidP="003C41B2">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 xml:space="preserve">- </w:t>
            </w:r>
            <w:r w:rsidR="007C502B" w:rsidRPr="00FE5EE8">
              <w:rPr>
                <w:rFonts w:ascii="Arial" w:eastAsia="Times New Roman" w:hAnsi="Arial" w:cs="Arial"/>
                <w:bCs/>
                <w:sz w:val="16"/>
                <w:szCs w:val="16"/>
                <w:lang w:eastAsia="fr-FR"/>
              </w:rPr>
              <w:t>0,</w:t>
            </w:r>
            <w:r>
              <w:rPr>
                <w:rFonts w:ascii="Arial" w:eastAsia="Times New Roman" w:hAnsi="Arial" w:cs="Arial"/>
                <w:bCs/>
                <w:sz w:val="16"/>
                <w:szCs w:val="16"/>
                <w:lang w:eastAsia="fr-FR"/>
              </w:rPr>
              <w:t>19</w:t>
            </w:r>
            <w:r w:rsidR="007C502B" w:rsidRPr="00FE5EE8">
              <w:rPr>
                <w:rFonts w:ascii="Arial" w:eastAsia="Times New Roman" w:hAnsi="Arial" w:cs="Arial"/>
                <w:bCs/>
                <w:sz w:val="16"/>
                <w:szCs w:val="16"/>
                <w:lang w:eastAsia="fr-FR"/>
              </w:rPr>
              <w:t>%</w:t>
            </w:r>
          </w:p>
        </w:tc>
        <w:tc>
          <w:tcPr>
            <w:tcW w:w="964" w:type="dxa"/>
            <w:vAlign w:val="center"/>
          </w:tcPr>
          <w:p w14:paraId="29A6F384" w14:textId="77777777" w:rsidR="007C502B" w:rsidRPr="003054DD" w:rsidRDefault="00424EC6" w:rsidP="003C41B2">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3,99</w:t>
            </w:r>
            <w:r w:rsidR="007C502B" w:rsidRPr="003054DD">
              <w:rPr>
                <w:rFonts w:ascii="Arial" w:eastAsia="Times New Roman" w:hAnsi="Arial" w:cs="Arial"/>
                <w:bCs/>
                <w:sz w:val="16"/>
                <w:szCs w:val="16"/>
                <w:lang w:eastAsia="fr-FR"/>
              </w:rPr>
              <w:t>%</w:t>
            </w:r>
          </w:p>
        </w:tc>
        <w:tc>
          <w:tcPr>
            <w:tcW w:w="964" w:type="dxa"/>
            <w:vAlign w:val="center"/>
          </w:tcPr>
          <w:p w14:paraId="04D8D29E" w14:textId="77777777" w:rsidR="007C502B" w:rsidRPr="0097020F" w:rsidRDefault="00424EC6" w:rsidP="003C41B2">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2,99</w:t>
            </w:r>
            <w:r w:rsidR="007C502B" w:rsidRPr="0097020F">
              <w:rPr>
                <w:rFonts w:ascii="Arial" w:eastAsia="Times New Roman" w:hAnsi="Arial" w:cs="Arial"/>
                <w:bCs/>
                <w:sz w:val="16"/>
                <w:szCs w:val="16"/>
                <w:lang w:eastAsia="fr-FR"/>
              </w:rPr>
              <w:t>%</w:t>
            </w:r>
          </w:p>
        </w:tc>
        <w:tc>
          <w:tcPr>
            <w:tcW w:w="964" w:type="dxa"/>
          </w:tcPr>
          <w:p w14:paraId="0D14ABB4" w14:textId="77777777" w:rsidR="007C502B" w:rsidRPr="0097020F" w:rsidRDefault="0097020F" w:rsidP="003C41B2">
            <w:pPr>
              <w:spacing w:before="60" w:after="60"/>
              <w:jc w:val="center"/>
              <w:outlineLvl w:val="1"/>
              <w:rPr>
                <w:rFonts w:ascii="Arial" w:eastAsia="Times New Roman" w:hAnsi="Arial" w:cs="Arial"/>
                <w:bCs/>
                <w:sz w:val="16"/>
                <w:szCs w:val="16"/>
                <w:lang w:eastAsia="fr-FR"/>
              </w:rPr>
            </w:pPr>
            <w:r w:rsidRPr="0097020F">
              <w:rPr>
                <w:rFonts w:ascii="Arial" w:eastAsia="Times New Roman" w:hAnsi="Arial" w:cs="Arial"/>
                <w:bCs/>
                <w:sz w:val="16"/>
                <w:szCs w:val="16"/>
                <w:lang w:eastAsia="fr-FR"/>
              </w:rPr>
              <w:t>2,43</w:t>
            </w:r>
            <w:r w:rsidR="007C502B" w:rsidRPr="0097020F">
              <w:rPr>
                <w:rFonts w:ascii="Arial" w:eastAsia="Times New Roman" w:hAnsi="Arial" w:cs="Arial"/>
                <w:bCs/>
                <w:sz w:val="16"/>
                <w:szCs w:val="16"/>
                <w:lang w:eastAsia="fr-FR"/>
              </w:rPr>
              <w:t xml:space="preserve">% </w:t>
            </w:r>
          </w:p>
        </w:tc>
        <w:tc>
          <w:tcPr>
            <w:tcW w:w="964" w:type="dxa"/>
          </w:tcPr>
          <w:p w14:paraId="6D0BC39F" w14:textId="77777777" w:rsidR="007C502B" w:rsidRPr="003054DD" w:rsidRDefault="0097020F" w:rsidP="003C41B2">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1,46%</w:t>
            </w:r>
          </w:p>
        </w:tc>
      </w:tr>
    </w:tbl>
    <w:p w14:paraId="37FB0435" w14:textId="77777777" w:rsidR="00A466D9" w:rsidRPr="00A8724C" w:rsidRDefault="00A8724C" w:rsidP="00A8724C">
      <w:pPr>
        <w:pStyle w:val="Paragraphedeliste"/>
        <w:numPr>
          <w:ilvl w:val="0"/>
          <w:numId w:val="12"/>
        </w:numPr>
        <w:jc w:val="both"/>
        <w:outlineLvl w:val="1"/>
        <w:rPr>
          <w:rFonts w:ascii="Arial" w:eastAsia="Times New Roman" w:hAnsi="Arial" w:cs="Arial"/>
          <w:bCs/>
          <w:sz w:val="16"/>
          <w:szCs w:val="16"/>
          <w:lang w:eastAsia="fr-FR"/>
        </w:rPr>
      </w:pPr>
      <w:r w:rsidRPr="00A8724C">
        <w:rPr>
          <w:rFonts w:ascii="Arial" w:eastAsia="Times New Roman" w:hAnsi="Arial" w:cs="Arial"/>
          <w:bCs/>
          <w:sz w:val="16"/>
          <w:szCs w:val="16"/>
          <w:lang w:eastAsia="fr-FR"/>
        </w:rPr>
        <w:t>Y compris charges des personnels sur emplois non permanents</w:t>
      </w:r>
    </w:p>
    <w:p w14:paraId="33DD30B5" w14:textId="77777777" w:rsidR="008F5557" w:rsidRPr="0064615D" w:rsidRDefault="00582805" w:rsidP="00726C57">
      <w:pPr>
        <w:jc w:val="both"/>
        <w:outlineLvl w:val="1"/>
        <w:rPr>
          <w:rFonts w:ascii="Arial" w:eastAsia="Times New Roman" w:hAnsi="Arial" w:cs="Arial"/>
          <w:bCs/>
          <w:sz w:val="20"/>
          <w:szCs w:val="20"/>
          <w:lang w:eastAsia="fr-FR"/>
        </w:rPr>
      </w:pPr>
      <w:r w:rsidRPr="00D27355">
        <w:rPr>
          <w:rFonts w:ascii="Arial" w:eastAsia="Times New Roman" w:hAnsi="Arial" w:cs="Arial"/>
          <w:bCs/>
          <w:sz w:val="20"/>
          <w:szCs w:val="20"/>
          <w:lang w:eastAsia="fr-FR"/>
        </w:rPr>
        <w:t xml:space="preserve">La progression des charges de personnel sur les années 2022 à 2024 versus le BP 2020 s’explique par l’effet combiné </w:t>
      </w:r>
      <w:r w:rsidR="00D325CA">
        <w:rPr>
          <w:rFonts w:ascii="Arial" w:eastAsia="Times New Roman" w:hAnsi="Arial" w:cs="Arial"/>
          <w:bCs/>
          <w:sz w:val="20"/>
          <w:szCs w:val="20"/>
          <w:lang w:eastAsia="fr-FR"/>
        </w:rPr>
        <w:t xml:space="preserve">de </w:t>
      </w:r>
      <w:r w:rsidRPr="00D27355">
        <w:rPr>
          <w:rFonts w:ascii="Arial" w:eastAsia="Times New Roman" w:hAnsi="Arial" w:cs="Arial"/>
          <w:bCs/>
          <w:sz w:val="20"/>
          <w:szCs w:val="20"/>
          <w:lang w:eastAsia="fr-FR"/>
        </w:rPr>
        <w:t>choix politiques et de facteurs externes.</w:t>
      </w:r>
      <w:r w:rsidRPr="0064615D">
        <w:rPr>
          <w:rFonts w:ascii="Arial" w:eastAsia="Times New Roman" w:hAnsi="Arial" w:cs="Arial"/>
          <w:bCs/>
          <w:sz w:val="20"/>
          <w:szCs w:val="20"/>
          <w:lang w:eastAsia="fr-FR"/>
        </w:rPr>
        <w:t xml:space="preserve"> </w:t>
      </w:r>
    </w:p>
    <w:p w14:paraId="47A26639" w14:textId="77777777" w:rsidR="008F5557" w:rsidRPr="0064615D" w:rsidRDefault="0064615D" w:rsidP="00726C57">
      <w:pPr>
        <w:jc w:val="both"/>
        <w:outlineLvl w:val="1"/>
        <w:rPr>
          <w:rFonts w:ascii="Arial" w:eastAsia="Times New Roman" w:hAnsi="Arial" w:cs="Arial"/>
          <w:bCs/>
          <w:sz w:val="20"/>
          <w:szCs w:val="20"/>
          <w:lang w:eastAsia="fr-FR"/>
        </w:rPr>
      </w:pPr>
      <w:r>
        <w:rPr>
          <w:rFonts w:ascii="Arial" w:eastAsia="Times New Roman" w:hAnsi="Arial" w:cs="Arial"/>
          <w:bCs/>
          <w:sz w:val="20"/>
          <w:szCs w:val="20"/>
          <w:lang w:eastAsia="fr-FR"/>
        </w:rPr>
        <w:t>Des c</w:t>
      </w:r>
      <w:r w:rsidR="00582805" w:rsidRPr="0064615D">
        <w:rPr>
          <w:rFonts w:ascii="Arial" w:eastAsia="Times New Roman" w:hAnsi="Arial" w:cs="Arial"/>
          <w:bCs/>
          <w:sz w:val="20"/>
          <w:szCs w:val="20"/>
          <w:lang w:eastAsia="fr-FR"/>
        </w:rPr>
        <w:t>hoix politique</w:t>
      </w:r>
      <w:r w:rsidR="00F85D94" w:rsidRPr="00F85D94">
        <w:rPr>
          <w:rFonts w:ascii="Arial" w:eastAsia="Times New Roman" w:hAnsi="Arial" w:cs="Arial"/>
          <w:bCs/>
          <w:sz w:val="20"/>
          <w:szCs w:val="20"/>
          <w:lang w:eastAsia="fr-FR"/>
        </w:rPr>
        <w:t>s</w:t>
      </w:r>
      <w:r w:rsidR="00582805" w:rsidRPr="0064615D">
        <w:rPr>
          <w:rFonts w:ascii="Arial" w:eastAsia="Times New Roman" w:hAnsi="Arial" w:cs="Arial"/>
          <w:bCs/>
          <w:sz w:val="20"/>
          <w:szCs w:val="20"/>
          <w:lang w:eastAsia="fr-FR"/>
        </w:rPr>
        <w:t> </w:t>
      </w:r>
      <w:r>
        <w:rPr>
          <w:rFonts w:ascii="Arial" w:eastAsia="Times New Roman" w:hAnsi="Arial" w:cs="Arial"/>
          <w:bCs/>
          <w:sz w:val="20"/>
          <w:szCs w:val="20"/>
          <w:lang w:eastAsia="fr-FR"/>
        </w:rPr>
        <w:t>portant sur </w:t>
      </w:r>
      <w:r w:rsidR="00582805" w:rsidRPr="0064615D">
        <w:rPr>
          <w:rFonts w:ascii="Arial" w:eastAsia="Times New Roman" w:hAnsi="Arial" w:cs="Arial"/>
          <w:bCs/>
          <w:sz w:val="20"/>
          <w:szCs w:val="20"/>
          <w:lang w:eastAsia="fr-FR"/>
        </w:rPr>
        <w:t xml:space="preserve">: </w:t>
      </w:r>
    </w:p>
    <w:p w14:paraId="3C3863B6" w14:textId="77777777" w:rsidR="00A365B0" w:rsidRDefault="00F85D94">
      <w:pPr>
        <w:pStyle w:val="Paragraphedeliste"/>
        <w:numPr>
          <w:ilvl w:val="0"/>
          <w:numId w:val="9"/>
        </w:numPr>
        <w:jc w:val="both"/>
        <w:outlineLvl w:val="1"/>
        <w:rPr>
          <w:rFonts w:ascii="Arial" w:eastAsia="Times New Roman" w:hAnsi="Arial" w:cs="Arial"/>
          <w:bCs/>
          <w:sz w:val="20"/>
          <w:szCs w:val="20"/>
          <w:lang w:eastAsia="fr-FR"/>
        </w:rPr>
      </w:pPr>
      <w:proofErr w:type="gramStart"/>
      <w:r w:rsidRPr="00F85D94">
        <w:rPr>
          <w:rFonts w:ascii="Arial" w:eastAsia="Times New Roman" w:hAnsi="Arial" w:cs="Arial"/>
          <w:bCs/>
          <w:sz w:val="20"/>
          <w:szCs w:val="20"/>
          <w:lang w:eastAsia="fr-FR"/>
        </w:rPr>
        <w:t>l’ouverture</w:t>
      </w:r>
      <w:proofErr w:type="gramEnd"/>
      <w:r w:rsidRPr="00F85D94">
        <w:rPr>
          <w:rFonts w:ascii="Arial" w:eastAsia="Times New Roman" w:hAnsi="Arial" w:cs="Arial"/>
          <w:bCs/>
          <w:sz w:val="20"/>
          <w:szCs w:val="20"/>
          <w:lang w:eastAsia="fr-FR"/>
        </w:rPr>
        <w:t xml:space="preserve"> de la </w:t>
      </w:r>
      <w:proofErr w:type="spellStart"/>
      <w:r w:rsidR="00F63035" w:rsidRPr="00F85D94">
        <w:rPr>
          <w:rFonts w:ascii="Arial" w:eastAsia="Times New Roman" w:hAnsi="Arial" w:cs="Arial"/>
          <w:bCs/>
          <w:sz w:val="20"/>
          <w:szCs w:val="20"/>
          <w:lang w:eastAsia="fr-FR"/>
        </w:rPr>
        <w:t>minicrèche</w:t>
      </w:r>
      <w:proofErr w:type="spellEnd"/>
      <w:r w:rsidRPr="00F85D94">
        <w:rPr>
          <w:rFonts w:ascii="Arial" w:eastAsia="Times New Roman" w:hAnsi="Arial" w:cs="Arial"/>
          <w:bCs/>
          <w:sz w:val="20"/>
          <w:szCs w:val="20"/>
          <w:lang w:eastAsia="fr-FR"/>
        </w:rPr>
        <w:t xml:space="preserve"> des Frères Lumière </w:t>
      </w:r>
    </w:p>
    <w:p w14:paraId="5A561023" w14:textId="77777777" w:rsidR="00A365B0" w:rsidRDefault="00582805">
      <w:pPr>
        <w:pStyle w:val="Paragraphedeliste"/>
        <w:numPr>
          <w:ilvl w:val="0"/>
          <w:numId w:val="9"/>
        </w:numPr>
        <w:jc w:val="both"/>
        <w:outlineLvl w:val="1"/>
        <w:rPr>
          <w:rFonts w:ascii="Arial" w:eastAsia="Times New Roman" w:hAnsi="Arial" w:cs="Arial"/>
          <w:bCs/>
          <w:sz w:val="20"/>
          <w:szCs w:val="20"/>
          <w:lang w:eastAsia="fr-FR"/>
        </w:rPr>
      </w:pPr>
      <w:proofErr w:type="gramStart"/>
      <w:r w:rsidRPr="0064615D">
        <w:rPr>
          <w:rFonts w:ascii="Arial" w:eastAsia="Times New Roman" w:hAnsi="Arial" w:cs="Arial"/>
          <w:bCs/>
          <w:sz w:val="20"/>
          <w:szCs w:val="20"/>
          <w:lang w:eastAsia="fr-FR"/>
        </w:rPr>
        <w:t>l’augmentation</w:t>
      </w:r>
      <w:proofErr w:type="gramEnd"/>
      <w:r w:rsidRPr="0064615D">
        <w:rPr>
          <w:rFonts w:ascii="Arial" w:eastAsia="Times New Roman" w:hAnsi="Arial" w:cs="Arial"/>
          <w:bCs/>
          <w:sz w:val="20"/>
          <w:szCs w:val="20"/>
          <w:lang w:eastAsia="fr-FR"/>
        </w:rPr>
        <w:t xml:space="preserve"> du régime indemnitaire </w:t>
      </w:r>
    </w:p>
    <w:p w14:paraId="32B5F272" w14:textId="77777777" w:rsidR="00A365B0" w:rsidRDefault="00582805">
      <w:pPr>
        <w:pStyle w:val="Paragraphedeliste"/>
        <w:numPr>
          <w:ilvl w:val="0"/>
          <w:numId w:val="9"/>
        </w:numPr>
        <w:jc w:val="both"/>
        <w:outlineLvl w:val="1"/>
        <w:rPr>
          <w:rFonts w:ascii="Arial" w:eastAsia="Times New Roman" w:hAnsi="Arial" w:cs="Arial"/>
          <w:bCs/>
          <w:sz w:val="20"/>
          <w:szCs w:val="20"/>
          <w:lang w:eastAsia="fr-FR"/>
        </w:rPr>
      </w:pPr>
      <w:proofErr w:type="gramStart"/>
      <w:r w:rsidRPr="0064615D">
        <w:rPr>
          <w:rFonts w:ascii="Arial" w:eastAsia="Times New Roman" w:hAnsi="Arial" w:cs="Arial"/>
          <w:bCs/>
          <w:sz w:val="20"/>
          <w:szCs w:val="20"/>
          <w:lang w:eastAsia="fr-FR"/>
        </w:rPr>
        <w:t>la</w:t>
      </w:r>
      <w:proofErr w:type="gramEnd"/>
      <w:r w:rsidRPr="0064615D">
        <w:rPr>
          <w:rFonts w:ascii="Arial" w:eastAsia="Times New Roman" w:hAnsi="Arial" w:cs="Arial"/>
          <w:bCs/>
          <w:sz w:val="20"/>
          <w:szCs w:val="20"/>
          <w:lang w:eastAsia="fr-FR"/>
        </w:rPr>
        <w:t xml:space="preserve"> réduction de la précarité de certains emplois par contractualisation et titularisation </w:t>
      </w:r>
    </w:p>
    <w:p w14:paraId="0922D031" w14:textId="77777777" w:rsidR="00A365B0" w:rsidRDefault="00582805">
      <w:pPr>
        <w:pStyle w:val="Paragraphedeliste"/>
        <w:numPr>
          <w:ilvl w:val="0"/>
          <w:numId w:val="9"/>
        </w:numPr>
        <w:jc w:val="both"/>
        <w:outlineLvl w:val="1"/>
        <w:rPr>
          <w:rFonts w:ascii="Arial" w:eastAsia="Times New Roman" w:hAnsi="Arial" w:cs="Arial"/>
          <w:bCs/>
          <w:sz w:val="20"/>
          <w:szCs w:val="20"/>
          <w:lang w:eastAsia="fr-FR"/>
        </w:rPr>
      </w:pPr>
      <w:proofErr w:type="gramStart"/>
      <w:r w:rsidRPr="0064615D">
        <w:rPr>
          <w:rFonts w:ascii="Arial" w:eastAsia="Times New Roman" w:hAnsi="Arial" w:cs="Arial"/>
          <w:bCs/>
          <w:sz w:val="20"/>
          <w:szCs w:val="20"/>
          <w:lang w:eastAsia="fr-FR"/>
        </w:rPr>
        <w:t>la</w:t>
      </w:r>
      <w:proofErr w:type="gramEnd"/>
      <w:r w:rsidRPr="0064615D">
        <w:rPr>
          <w:rFonts w:ascii="Arial" w:eastAsia="Times New Roman" w:hAnsi="Arial" w:cs="Arial"/>
          <w:bCs/>
          <w:sz w:val="20"/>
          <w:szCs w:val="20"/>
          <w:lang w:eastAsia="fr-FR"/>
        </w:rPr>
        <w:t xml:space="preserve"> souscription d’une assurance pour risques statutaires (maladie ordinaire, longue maladie, invalidité) à la prime plus élevée mais offrant un taux de remboursement </w:t>
      </w:r>
      <w:r w:rsidR="00F85D94" w:rsidRPr="00F85D94">
        <w:rPr>
          <w:rFonts w:ascii="Arial" w:eastAsia="Times New Roman" w:hAnsi="Arial" w:cs="Arial"/>
          <w:bCs/>
          <w:sz w:val="20"/>
          <w:szCs w:val="20"/>
          <w:lang w:eastAsia="fr-FR"/>
        </w:rPr>
        <w:t xml:space="preserve">nettement plus important  </w:t>
      </w:r>
      <w:r w:rsidRPr="0064615D">
        <w:rPr>
          <w:rFonts w:ascii="Arial" w:eastAsia="Times New Roman" w:hAnsi="Arial" w:cs="Arial"/>
          <w:bCs/>
          <w:sz w:val="20"/>
          <w:szCs w:val="20"/>
          <w:lang w:eastAsia="fr-FR"/>
        </w:rPr>
        <w:t xml:space="preserve"> </w:t>
      </w:r>
    </w:p>
    <w:p w14:paraId="179993F0" w14:textId="77777777" w:rsidR="009A06B5" w:rsidRPr="0064615D" w:rsidRDefault="0064615D">
      <w:pPr>
        <w:jc w:val="both"/>
        <w:outlineLvl w:val="1"/>
        <w:rPr>
          <w:rFonts w:ascii="Arial" w:eastAsia="Times New Roman" w:hAnsi="Arial" w:cs="Arial"/>
          <w:bCs/>
          <w:sz w:val="20"/>
          <w:szCs w:val="20"/>
          <w:lang w:eastAsia="fr-FR"/>
        </w:rPr>
      </w:pPr>
      <w:r>
        <w:rPr>
          <w:rFonts w:ascii="Arial" w:eastAsia="Times New Roman" w:hAnsi="Arial" w:cs="Arial"/>
          <w:bCs/>
          <w:sz w:val="20"/>
          <w:szCs w:val="20"/>
          <w:lang w:eastAsia="fr-FR"/>
        </w:rPr>
        <w:t>Et des f</w:t>
      </w:r>
      <w:r w:rsidR="00582805" w:rsidRPr="0064615D">
        <w:rPr>
          <w:rFonts w:ascii="Arial" w:eastAsia="Times New Roman" w:hAnsi="Arial" w:cs="Arial"/>
          <w:bCs/>
          <w:sz w:val="20"/>
          <w:szCs w:val="20"/>
          <w:lang w:eastAsia="fr-FR"/>
        </w:rPr>
        <w:t>acteurs externes </w:t>
      </w:r>
      <w:r w:rsidR="00F85D94" w:rsidRPr="00F85D94">
        <w:rPr>
          <w:rFonts w:ascii="Arial" w:eastAsia="Times New Roman" w:hAnsi="Arial" w:cs="Arial"/>
          <w:bCs/>
          <w:sz w:val="20"/>
          <w:szCs w:val="20"/>
          <w:lang w:eastAsia="fr-FR"/>
        </w:rPr>
        <w:t xml:space="preserve">inhérents au statut de la fonction publique territoriale (glissement </w:t>
      </w:r>
      <w:r w:rsidR="00822DEF">
        <w:rPr>
          <w:rFonts w:ascii="Arial" w:eastAsia="Times New Roman" w:hAnsi="Arial" w:cs="Arial"/>
          <w:bCs/>
          <w:sz w:val="20"/>
          <w:szCs w:val="20"/>
          <w:lang w:eastAsia="fr-FR"/>
        </w:rPr>
        <w:t>vieilles</w:t>
      </w:r>
      <w:r w:rsidR="00F85D94" w:rsidRPr="00F85D94">
        <w:rPr>
          <w:rFonts w:ascii="Arial" w:eastAsia="Times New Roman" w:hAnsi="Arial" w:cs="Arial"/>
          <w:bCs/>
          <w:sz w:val="20"/>
          <w:szCs w:val="20"/>
          <w:lang w:eastAsia="fr-FR"/>
        </w:rPr>
        <w:t xml:space="preserve">se technicité ou GVT, </w:t>
      </w:r>
      <w:r w:rsidR="00582805" w:rsidRPr="0064615D">
        <w:rPr>
          <w:rFonts w:ascii="Arial" w:eastAsia="Times New Roman" w:hAnsi="Arial" w:cs="Arial"/>
          <w:bCs/>
          <w:sz w:val="20"/>
          <w:szCs w:val="20"/>
          <w:lang w:eastAsia="fr-FR"/>
        </w:rPr>
        <w:t xml:space="preserve">évolution </w:t>
      </w:r>
      <w:r w:rsidR="00F85D94" w:rsidRPr="00F85D94">
        <w:rPr>
          <w:rFonts w:ascii="Arial" w:eastAsia="Times New Roman" w:hAnsi="Arial" w:cs="Arial"/>
          <w:bCs/>
          <w:sz w:val="20"/>
          <w:szCs w:val="20"/>
          <w:lang w:eastAsia="fr-FR"/>
        </w:rPr>
        <w:t>de la valeur du point)</w:t>
      </w:r>
      <w:r>
        <w:rPr>
          <w:rFonts w:ascii="Arial" w:eastAsia="Times New Roman" w:hAnsi="Arial" w:cs="Arial"/>
          <w:bCs/>
          <w:sz w:val="20"/>
          <w:szCs w:val="20"/>
          <w:lang w:eastAsia="fr-FR"/>
        </w:rPr>
        <w:t xml:space="preserve">, conduisant aux hypothèses suivantes : </w:t>
      </w:r>
    </w:p>
    <w:p w14:paraId="79CD1123" w14:textId="77777777" w:rsidR="00A365B0" w:rsidRDefault="00582805">
      <w:pPr>
        <w:pStyle w:val="Paragraphedeliste"/>
        <w:numPr>
          <w:ilvl w:val="0"/>
          <w:numId w:val="9"/>
        </w:numPr>
        <w:jc w:val="both"/>
        <w:outlineLvl w:val="1"/>
        <w:rPr>
          <w:rFonts w:ascii="Arial" w:eastAsia="Times New Roman" w:hAnsi="Arial" w:cs="Arial"/>
          <w:bCs/>
          <w:sz w:val="20"/>
          <w:szCs w:val="20"/>
          <w:lang w:eastAsia="fr-FR"/>
        </w:rPr>
      </w:pPr>
      <w:r w:rsidRPr="0064615D">
        <w:rPr>
          <w:rFonts w:ascii="Arial" w:eastAsia="Times New Roman" w:hAnsi="Arial" w:cs="Arial"/>
          <w:bCs/>
          <w:sz w:val="20"/>
          <w:szCs w:val="20"/>
          <w:lang w:eastAsia="fr-FR"/>
        </w:rPr>
        <w:t>En 2022 : 0,3 % au titre du Glissement Vieillesse Technicité (GVT)</w:t>
      </w:r>
    </w:p>
    <w:p w14:paraId="4B175956" w14:textId="77777777" w:rsidR="00A365B0" w:rsidRDefault="00582805">
      <w:pPr>
        <w:pStyle w:val="Paragraphedeliste"/>
        <w:numPr>
          <w:ilvl w:val="0"/>
          <w:numId w:val="9"/>
        </w:numPr>
        <w:jc w:val="both"/>
        <w:outlineLvl w:val="1"/>
        <w:rPr>
          <w:rFonts w:ascii="Arial" w:eastAsia="Times New Roman" w:hAnsi="Arial" w:cs="Arial"/>
          <w:bCs/>
          <w:sz w:val="20"/>
          <w:szCs w:val="20"/>
          <w:lang w:eastAsia="fr-FR"/>
        </w:rPr>
      </w:pPr>
      <w:r w:rsidRPr="0064615D">
        <w:rPr>
          <w:rFonts w:ascii="Arial" w:eastAsia="Times New Roman" w:hAnsi="Arial" w:cs="Arial"/>
          <w:bCs/>
          <w:sz w:val="20"/>
          <w:szCs w:val="20"/>
          <w:lang w:eastAsia="fr-FR"/>
        </w:rPr>
        <w:t xml:space="preserve">En 2023 et 2024 : 0,3 % au titre du GVT et 0,3 % au titre d’une majoration de la valeur du point </w:t>
      </w:r>
    </w:p>
    <w:p w14:paraId="59CB0830" w14:textId="77777777" w:rsidR="00A365B0" w:rsidRDefault="00582805">
      <w:pPr>
        <w:pStyle w:val="Paragraphedeliste"/>
        <w:jc w:val="both"/>
        <w:outlineLvl w:val="1"/>
        <w:rPr>
          <w:rFonts w:ascii="Arial" w:eastAsia="Times New Roman" w:hAnsi="Arial" w:cs="Arial"/>
          <w:bCs/>
          <w:sz w:val="20"/>
          <w:szCs w:val="20"/>
          <w:lang w:eastAsia="fr-FR"/>
        </w:rPr>
      </w:pPr>
      <w:r w:rsidRPr="0064615D">
        <w:rPr>
          <w:rFonts w:ascii="Arial" w:eastAsia="Times New Roman" w:hAnsi="Arial" w:cs="Arial"/>
          <w:bCs/>
          <w:sz w:val="20"/>
          <w:szCs w:val="20"/>
          <w:lang w:eastAsia="fr-FR"/>
        </w:rPr>
        <w:t xml:space="preserve"> </w:t>
      </w:r>
    </w:p>
    <w:p w14:paraId="5D06125F" w14:textId="292FD242" w:rsidR="006645A9" w:rsidRDefault="00E81694" w:rsidP="00A466D9">
      <w:pPr>
        <w:jc w:val="both"/>
        <w:outlineLvl w:val="1"/>
        <w:rPr>
          <w:rFonts w:ascii="Arial" w:eastAsia="Times New Roman" w:hAnsi="Arial" w:cs="Arial"/>
          <w:bCs/>
          <w:sz w:val="20"/>
          <w:szCs w:val="20"/>
          <w:lang w:eastAsia="fr-FR"/>
        </w:rPr>
      </w:pPr>
      <w:r>
        <w:rPr>
          <w:rFonts w:ascii="Arial" w:eastAsia="Times New Roman" w:hAnsi="Arial" w:cs="Arial"/>
          <w:bCs/>
          <w:sz w:val="20"/>
          <w:szCs w:val="20"/>
          <w:lang w:eastAsia="fr-FR"/>
        </w:rPr>
        <w:t>L</w:t>
      </w:r>
      <w:r w:rsidR="006645A9" w:rsidRPr="00FE5EE8">
        <w:rPr>
          <w:rFonts w:ascii="Arial" w:eastAsia="Times New Roman" w:hAnsi="Arial" w:cs="Arial"/>
          <w:bCs/>
          <w:sz w:val="20"/>
          <w:szCs w:val="20"/>
          <w:lang w:eastAsia="fr-FR"/>
        </w:rPr>
        <w:t xml:space="preserve">es </w:t>
      </w:r>
      <w:r w:rsidR="00C672CF">
        <w:rPr>
          <w:rFonts w:ascii="Arial" w:eastAsia="Times New Roman" w:hAnsi="Arial" w:cs="Arial"/>
          <w:bCs/>
          <w:sz w:val="20"/>
          <w:szCs w:val="20"/>
          <w:lang w:eastAsia="fr-FR"/>
        </w:rPr>
        <w:t>postes</w:t>
      </w:r>
      <w:r w:rsidR="006645A9" w:rsidRPr="00FE5EE8">
        <w:rPr>
          <w:rFonts w:ascii="Arial" w:eastAsia="Times New Roman" w:hAnsi="Arial" w:cs="Arial"/>
          <w:bCs/>
          <w:sz w:val="20"/>
          <w:szCs w:val="20"/>
          <w:lang w:eastAsia="fr-FR"/>
        </w:rPr>
        <w:t xml:space="preserve"> pourvus (personne</w:t>
      </w:r>
      <w:r w:rsidR="003F6F54">
        <w:rPr>
          <w:rFonts w:ascii="Arial" w:eastAsia="Times New Roman" w:hAnsi="Arial" w:cs="Arial"/>
          <w:bCs/>
          <w:sz w:val="20"/>
          <w:szCs w:val="20"/>
          <w:lang w:eastAsia="fr-FR"/>
        </w:rPr>
        <w:t>l permanent) au 31 décembre 2021</w:t>
      </w:r>
      <w:r w:rsidR="006645A9" w:rsidRPr="00FE5EE8">
        <w:rPr>
          <w:rFonts w:ascii="Arial" w:eastAsia="Times New Roman" w:hAnsi="Arial" w:cs="Arial"/>
          <w:bCs/>
          <w:sz w:val="20"/>
          <w:szCs w:val="20"/>
          <w:lang w:eastAsia="fr-FR"/>
        </w:rPr>
        <w:t xml:space="preserve"> sont les suivants :</w:t>
      </w:r>
    </w:p>
    <w:tbl>
      <w:tblPr>
        <w:tblStyle w:val="Grilledutableau"/>
        <w:tblW w:w="0" w:type="auto"/>
        <w:tblLayout w:type="fixed"/>
        <w:tblLook w:val="04A0" w:firstRow="1" w:lastRow="0" w:firstColumn="1" w:lastColumn="0" w:noHBand="0" w:noVBand="1"/>
      </w:tblPr>
      <w:tblGrid>
        <w:gridCol w:w="2235"/>
        <w:gridCol w:w="964"/>
      </w:tblGrid>
      <w:tr w:rsidR="00E6146B" w:rsidRPr="00BA2A78" w14:paraId="7D957822" w14:textId="77777777" w:rsidTr="00E6146B">
        <w:tc>
          <w:tcPr>
            <w:tcW w:w="2235" w:type="dxa"/>
          </w:tcPr>
          <w:p w14:paraId="4CFBA6CB" w14:textId="77777777" w:rsidR="00E6146B" w:rsidRPr="00BA2A78" w:rsidRDefault="00E6146B" w:rsidP="00272C13">
            <w:pPr>
              <w:spacing w:before="60" w:after="60"/>
              <w:ind w:right="-102"/>
              <w:outlineLvl w:val="1"/>
              <w:rPr>
                <w:rFonts w:ascii="Arial" w:eastAsia="Times New Roman" w:hAnsi="Arial" w:cs="Arial"/>
                <w:bCs/>
                <w:sz w:val="16"/>
                <w:szCs w:val="16"/>
                <w:lang w:eastAsia="fr-FR"/>
              </w:rPr>
            </w:pPr>
            <w:r w:rsidRPr="00BA2A78">
              <w:rPr>
                <w:rFonts w:ascii="Arial" w:eastAsia="Times New Roman" w:hAnsi="Arial" w:cs="Arial"/>
                <w:bCs/>
                <w:sz w:val="16"/>
                <w:szCs w:val="16"/>
                <w:lang w:eastAsia="fr-FR"/>
              </w:rPr>
              <w:t>Catégorie d’emplois</w:t>
            </w:r>
          </w:p>
        </w:tc>
        <w:tc>
          <w:tcPr>
            <w:tcW w:w="964" w:type="dxa"/>
          </w:tcPr>
          <w:p w14:paraId="6D3AA33E" w14:textId="77777777" w:rsidR="00E6146B" w:rsidRPr="00BA2A78" w:rsidRDefault="00862A83" w:rsidP="006645A9">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Nombre</w:t>
            </w:r>
          </w:p>
        </w:tc>
      </w:tr>
      <w:tr w:rsidR="00E6146B" w:rsidRPr="00BA2A78" w14:paraId="03E1440B" w14:textId="77777777" w:rsidTr="00E6146B">
        <w:tc>
          <w:tcPr>
            <w:tcW w:w="2235" w:type="dxa"/>
          </w:tcPr>
          <w:p w14:paraId="6A2E9EDE" w14:textId="77777777" w:rsidR="00E6146B" w:rsidRPr="00BA2A78" w:rsidRDefault="00E6146B" w:rsidP="006645A9">
            <w:pPr>
              <w:spacing w:before="60" w:after="60"/>
              <w:ind w:right="-103"/>
              <w:outlineLvl w:val="1"/>
              <w:rPr>
                <w:rFonts w:ascii="Arial" w:eastAsia="Times New Roman" w:hAnsi="Arial" w:cs="Arial"/>
                <w:bCs/>
                <w:sz w:val="16"/>
                <w:szCs w:val="16"/>
                <w:lang w:eastAsia="fr-FR"/>
              </w:rPr>
            </w:pPr>
            <w:r w:rsidRPr="00BA2A78">
              <w:rPr>
                <w:rFonts w:ascii="Arial" w:eastAsia="Times New Roman" w:hAnsi="Arial" w:cs="Arial"/>
                <w:bCs/>
                <w:sz w:val="16"/>
                <w:szCs w:val="16"/>
                <w:lang w:eastAsia="fr-FR"/>
              </w:rPr>
              <w:t>Emplois de direction</w:t>
            </w:r>
          </w:p>
        </w:tc>
        <w:tc>
          <w:tcPr>
            <w:tcW w:w="964" w:type="dxa"/>
            <w:vAlign w:val="center"/>
          </w:tcPr>
          <w:p w14:paraId="1991A7DB" w14:textId="77777777" w:rsidR="00E6146B" w:rsidRPr="00292B2B" w:rsidRDefault="00F9617D" w:rsidP="006645A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w:t>
            </w:r>
          </w:p>
        </w:tc>
      </w:tr>
      <w:tr w:rsidR="00E6146B" w:rsidRPr="00BA2A78" w14:paraId="4B1CD9EA" w14:textId="77777777" w:rsidTr="00E6146B">
        <w:tc>
          <w:tcPr>
            <w:tcW w:w="2235" w:type="dxa"/>
          </w:tcPr>
          <w:p w14:paraId="73FC1869" w14:textId="77777777" w:rsidR="00E6146B" w:rsidRPr="00BA2A78" w:rsidRDefault="00E6146B" w:rsidP="006645A9">
            <w:pPr>
              <w:spacing w:before="60" w:after="60"/>
              <w:outlineLvl w:val="1"/>
              <w:rPr>
                <w:rFonts w:ascii="Arial" w:eastAsia="Times New Roman" w:hAnsi="Arial" w:cs="Arial"/>
                <w:bCs/>
                <w:sz w:val="16"/>
                <w:szCs w:val="16"/>
                <w:lang w:eastAsia="fr-FR"/>
              </w:rPr>
            </w:pPr>
            <w:r w:rsidRPr="00BA2A78">
              <w:rPr>
                <w:rFonts w:ascii="Arial" w:eastAsia="Times New Roman" w:hAnsi="Arial" w:cs="Arial"/>
                <w:bCs/>
                <w:sz w:val="16"/>
                <w:szCs w:val="16"/>
                <w:lang w:eastAsia="fr-FR"/>
              </w:rPr>
              <w:t>Catégorie A</w:t>
            </w:r>
          </w:p>
        </w:tc>
        <w:tc>
          <w:tcPr>
            <w:tcW w:w="964" w:type="dxa"/>
            <w:vAlign w:val="center"/>
          </w:tcPr>
          <w:p w14:paraId="294159C0" w14:textId="77777777" w:rsidR="00E6146B" w:rsidRPr="00292B2B" w:rsidRDefault="00F9617D" w:rsidP="006645A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50</w:t>
            </w:r>
          </w:p>
        </w:tc>
      </w:tr>
      <w:tr w:rsidR="00E6146B" w:rsidRPr="00BA2A78" w14:paraId="0329725E" w14:textId="77777777" w:rsidTr="00E6146B">
        <w:tc>
          <w:tcPr>
            <w:tcW w:w="2235" w:type="dxa"/>
          </w:tcPr>
          <w:p w14:paraId="2CE0C492" w14:textId="77777777" w:rsidR="00E6146B" w:rsidRPr="00BA2A78" w:rsidRDefault="00E6146B" w:rsidP="006645A9">
            <w:pPr>
              <w:spacing w:before="60" w:after="60"/>
              <w:outlineLvl w:val="1"/>
              <w:rPr>
                <w:rFonts w:ascii="Arial" w:eastAsia="Times New Roman" w:hAnsi="Arial" w:cs="Arial"/>
                <w:bCs/>
                <w:sz w:val="16"/>
                <w:szCs w:val="16"/>
                <w:lang w:eastAsia="fr-FR"/>
              </w:rPr>
            </w:pPr>
            <w:r w:rsidRPr="00BA2A78">
              <w:rPr>
                <w:rFonts w:ascii="Arial" w:eastAsia="Times New Roman" w:hAnsi="Arial" w:cs="Arial"/>
                <w:bCs/>
                <w:sz w:val="16"/>
                <w:szCs w:val="16"/>
                <w:lang w:eastAsia="fr-FR"/>
              </w:rPr>
              <w:t>Catégorie B</w:t>
            </w:r>
          </w:p>
        </w:tc>
        <w:tc>
          <w:tcPr>
            <w:tcW w:w="964" w:type="dxa"/>
            <w:vAlign w:val="center"/>
          </w:tcPr>
          <w:p w14:paraId="45E1D15B" w14:textId="77777777" w:rsidR="00E6146B" w:rsidRPr="00292B2B" w:rsidRDefault="00F9617D" w:rsidP="006645A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60</w:t>
            </w:r>
          </w:p>
        </w:tc>
      </w:tr>
      <w:tr w:rsidR="00E6146B" w:rsidRPr="00BA2A78" w14:paraId="45F97B02" w14:textId="77777777" w:rsidTr="00E6146B">
        <w:tc>
          <w:tcPr>
            <w:tcW w:w="2235" w:type="dxa"/>
          </w:tcPr>
          <w:p w14:paraId="68153F9C" w14:textId="77777777" w:rsidR="00E6146B" w:rsidRPr="00BA2A78" w:rsidRDefault="00E6146B" w:rsidP="00E6146B">
            <w:pPr>
              <w:spacing w:before="60" w:after="60"/>
              <w:ind w:right="-103"/>
              <w:outlineLvl w:val="1"/>
              <w:rPr>
                <w:rFonts w:ascii="Arial" w:eastAsia="Times New Roman" w:hAnsi="Arial" w:cs="Arial"/>
                <w:bCs/>
                <w:sz w:val="16"/>
                <w:szCs w:val="16"/>
                <w:lang w:eastAsia="fr-FR"/>
              </w:rPr>
            </w:pPr>
            <w:r w:rsidRPr="00BA2A78">
              <w:rPr>
                <w:rFonts w:ascii="Arial" w:eastAsia="Times New Roman" w:hAnsi="Arial" w:cs="Arial"/>
                <w:bCs/>
                <w:sz w:val="16"/>
                <w:szCs w:val="16"/>
                <w:lang w:eastAsia="fr-FR"/>
              </w:rPr>
              <w:t>Catégorie C</w:t>
            </w:r>
          </w:p>
        </w:tc>
        <w:tc>
          <w:tcPr>
            <w:tcW w:w="964" w:type="dxa"/>
            <w:vAlign w:val="center"/>
          </w:tcPr>
          <w:p w14:paraId="12363E1C" w14:textId="77777777" w:rsidR="00E6146B" w:rsidRPr="00292B2B" w:rsidRDefault="00201BA3" w:rsidP="006645A9">
            <w:pPr>
              <w:spacing w:before="60" w:after="60"/>
              <w:jc w:val="right"/>
              <w:outlineLvl w:val="1"/>
              <w:rPr>
                <w:rFonts w:ascii="Arial" w:eastAsia="Times New Roman" w:hAnsi="Arial" w:cs="Arial"/>
                <w:bCs/>
                <w:sz w:val="16"/>
                <w:szCs w:val="16"/>
                <w:lang w:eastAsia="fr-FR"/>
              </w:rPr>
            </w:pPr>
            <w:r w:rsidRPr="00292B2B">
              <w:rPr>
                <w:rFonts w:ascii="Arial" w:eastAsia="Times New Roman" w:hAnsi="Arial" w:cs="Arial"/>
                <w:bCs/>
                <w:sz w:val="16"/>
                <w:szCs w:val="16"/>
                <w:lang w:eastAsia="fr-FR"/>
              </w:rPr>
              <w:t>46</w:t>
            </w:r>
            <w:r w:rsidR="00F9617D">
              <w:rPr>
                <w:rFonts w:ascii="Arial" w:eastAsia="Times New Roman" w:hAnsi="Arial" w:cs="Arial"/>
                <w:bCs/>
                <w:sz w:val="16"/>
                <w:szCs w:val="16"/>
                <w:lang w:eastAsia="fr-FR"/>
              </w:rPr>
              <w:t>1</w:t>
            </w:r>
          </w:p>
        </w:tc>
      </w:tr>
      <w:tr w:rsidR="00E6146B" w:rsidRPr="00BA2A78" w14:paraId="36143F69" w14:textId="77777777" w:rsidTr="00E6146B">
        <w:tc>
          <w:tcPr>
            <w:tcW w:w="2235" w:type="dxa"/>
          </w:tcPr>
          <w:p w14:paraId="0EF0D678" w14:textId="77777777" w:rsidR="00E6146B" w:rsidRPr="00BA2A78" w:rsidRDefault="00E6146B" w:rsidP="00E6146B">
            <w:pPr>
              <w:spacing w:before="60" w:after="60"/>
              <w:ind w:right="-103"/>
              <w:outlineLvl w:val="1"/>
              <w:rPr>
                <w:rFonts w:ascii="Arial" w:eastAsia="Times New Roman" w:hAnsi="Arial" w:cs="Arial"/>
                <w:bCs/>
                <w:sz w:val="16"/>
                <w:szCs w:val="16"/>
                <w:lang w:eastAsia="fr-FR"/>
              </w:rPr>
            </w:pPr>
            <w:r w:rsidRPr="00BA2A78">
              <w:rPr>
                <w:rFonts w:ascii="Arial" w:eastAsia="Times New Roman" w:hAnsi="Arial" w:cs="Arial"/>
                <w:bCs/>
                <w:sz w:val="16"/>
                <w:szCs w:val="16"/>
                <w:lang w:eastAsia="fr-FR"/>
              </w:rPr>
              <w:t>Total</w:t>
            </w:r>
          </w:p>
        </w:tc>
        <w:tc>
          <w:tcPr>
            <w:tcW w:w="964" w:type="dxa"/>
            <w:vAlign w:val="center"/>
          </w:tcPr>
          <w:p w14:paraId="48606BCC" w14:textId="77777777" w:rsidR="00E6146B" w:rsidRPr="00292B2B" w:rsidRDefault="00201BA3" w:rsidP="006645A9">
            <w:pPr>
              <w:spacing w:before="60" w:after="60"/>
              <w:jc w:val="right"/>
              <w:outlineLvl w:val="1"/>
              <w:rPr>
                <w:rFonts w:ascii="Arial" w:eastAsia="Times New Roman" w:hAnsi="Arial" w:cs="Arial"/>
                <w:bCs/>
                <w:sz w:val="16"/>
                <w:szCs w:val="16"/>
                <w:lang w:eastAsia="fr-FR"/>
              </w:rPr>
            </w:pPr>
            <w:r w:rsidRPr="00292B2B">
              <w:rPr>
                <w:rFonts w:ascii="Arial" w:eastAsia="Times New Roman" w:hAnsi="Arial" w:cs="Arial"/>
                <w:bCs/>
                <w:sz w:val="16"/>
                <w:szCs w:val="16"/>
                <w:lang w:eastAsia="fr-FR"/>
              </w:rPr>
              <w:t>57</w:t>
            </w:r>
            <w:r w:rsidR="00292B2B" w:rsidRPr="00292B2B">
              <w:rPr>
                <w:rFonts w:ascii="Arial" w:eastAsia="Times New Roman" w:hAnsi="Arial" w:cs="Arial"/>
                <w:bCs/>
                <w:sz w:val="16"/>
                <w:szCs w:val="16"/>
                <w:lang w:eastAsia="fr-FR"/>
              </w:rPr>
              <w:t>5</w:t>
            </w:r>
          </w:p>
        </w:tc>
      </w:tr>
    </w:tbl>
    <w:p w14:paraId="41D171DE" w14:textId="77777777" w:rsidR="006645A9" w:rsidRDefault="006645A9" w:rsidP="00A466D9">
      <w:pPr>
        <w:jc w:val="both"/>
        <w:outlineLvl w:val="1"/>
        <w:rPr>
          <w:rFonts w:ascii="Arial" w:eastAsia="Times New Roman" w:hAnsi="Arial" w:cs="Arial"/>
          <w:bCs/>
          <w:sz w:val="20"/>
          <w:szCs w:val="20"/>
          <w:lang w:eastAsia="fr-FR"/>
        </w:rPr>
      </w:pPr>
    </w:p>
    <w:tbl>
      <w:tblPr>
        <w:tblStyle w:val="Grilledutableau"/>
        <w:tblW w:w="9227" w:type="dxa"/>
        <w:tblLayout w:type="fixed"/>
        <w:tblLook w:val="04A0" w:firstRow="1" w:lastRow="0" w:firstColumn="1" w:lastColumn="0" w:noHBand="0" w:noVBand="1"/>
      </w:tblPr>
      <w:tblGrid>
        <w:gridCol w:w="1183"/>
        <w:gridCol w:w="1068"/>
        <w:gridCol w:w="872"/>
        <w:gridCol w:w="872"/>
        <w:gridCol w:w="872"/>
        <w:gridCol w:w="872"/>
        <w:gridCol w:w="872"/>
        <w:gridCol w:w="872"/>
        <w:gridCol w:w="872"/>
        <w:gridCol w:w="872"/>
      </w:tblGrid>
      <w:tr w:rsidR="00292B2B" w14:paraId="66F002A9" w14:textId="77777777" w:rsidTr="00E81694">
        <w:trPr>
          <w:trHeight w:val="261"/>
        </w:trPr>
        <w:tc>
          <w:tcPr>
            <w:tcW w:w="1183" w:type="dxa"/>
            <w:tcBorders>
              <w:top w:val="nil"/>
              <w:left w:val="nil"/>
              <w:bottom w:val="nil"/>
              <w:right w:val="nil"/>
            </w:tcBorders>
          </w:tcPr>
          <w:p w14:paraId="1B0A1982" w14:textId="77777777" w:rsidR="00292B2B" w:rsidRPr="00962289" w:rsidRDefault="00292B2B" w:rsidP="00F84E4D">
            <w:pPr>
              <w:spacing w:before="40" w:after="40"/>
              <w:jc w:val="both"/>
              <w:outlineLvl w:val="1"/>
              <w:rPr>
                <w:rFonts w:ascii="Arial" w:eastAsia="Times New Roman" w:hAnsi="Arial" w:cs="Arial"/>
                <w:bCs/>
                <w:sz w:val="16"/>
                <w:szCs w:val="16"/>
                <w:lang w:eastAsia="fr-FR"/>
              </w:rPr>
            </w:pPr>
          </w:p>
        </w:tc>
        <w:tc>
          <w:tcPr>
            <w:tcW w:w="1068" w:type="dxa"/>
            <w:tcBorders>
              <w:top w:val="nil"/>
              <w:left w:val="nil"/>
              <w:bottom w:val="nil"/>
            </w:tcBorders>
          </w:tcPr>
          <w:p w14:paraId="6D814B1E" w14:textId="77777777" w:rsidR="00292B2B" w:rsidRPr="00962289" w:rsidRDefault="00292B2B" w:rsidP="00F84E4D">
            <w:pPr>
              <w:spacing w:before="40" w:after="40"/>
              <w:jc w:val="both"/>
              <w:outlineLvl w:val="1"/>
              <w:rPr>
                <w:rFonts w:ascii="Arial" w:eastAsia="Times New Roman" w:hAnsi="Arial" w:cs="Arial"/>
                <w:bCs/>
                <w:sz w:val="16"/>
                <w:szCs w:val="16"/>
                <w:lang w:eastAsia="fr-FR"/>
              </w:rPr>
            </w:pPr>
          </w:p>
        </w:tc>
        <w:tc>
          <w:tcPr>
            <w:tcW w:w="1744" w:type="dxa"/>
            <w:gridSpan w:val="2"/>
            <w:vAlign w:val="center"/>
          </w:tcPr>
          <w:p w14:paraId="142BB543" w14:textId="77777777" w:rsidR="00292B2B" w:rsidRPr="00962289" w:rsidRDefault="00292B2B" w:rsidP="00F84E4D">
            <w:pPr>
              <w:spacing w:before="40" w:after="40"/>
              <w:jc w:val="center"/>
              <w:outlineLvl w:val="1"/>
              <w:rPr>
                <w:rFonts w:ascii="Arial" w:eastAsia="Times New Roman" w:hAnsi="Arial" w:cs="Arial"/>
                <w:bCs/>
                <w:sz w:val="16"/>
                <w:szCs w:val="16"/>
                <w:lang w:eastAsia="fr-FR"/>
              </w:rPr>
            </w:pPr>
            <w:r w:rsidRPr="00962289">
              <w:rPr>
                <w:rFonts w:ascii="Arial" w:eastAsia="Times New Roman" w:hAnsi="Arial" w:cs="Arial"/>
                <w:bCs/>
                <w:sz w:val="16"/>
                <w:szCs w:val="16"/>
                <w:lang w:eastAsia="fr-FR"/>
              </w:rPr>
              <w:t>Catégorie A</w:t>
            </w:r>
          </w:p>
        </w:tc>
        <w:tc>
          <w:tcPr>
            <w:tcW w:w="1744" w:type="dxa"/>
            <w:gridSpan w:val="2"/>
            <w:vAlign w:val="center"/>
          </w:tcPr>
          <w:p w14:paraId="6BD58C73" w14:textId="77777777" w:rsidR="00292B2B" w:rsidRPr="00962289" w:rsidRDefault="00292B2B" w:rsidP="00F84E4D">
            <w:pPr>
              <w:spacing w:before="40" w:after="4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Catégorie B</w:t>
            </w:r>
          </w:p>
        </w:tc>
        <w:tc>
          <w:tcPr>
            <w:tcW w:w="1744" w:type="dxa"/>
            <w:gridSpan w:val="2"/>
            <w:vAlign w:val="center"/>
          </w:tcPr>
          <w:p w14:paraId="7A7A120F" w14:textId="77777777" w:rsidR="00292B2B" w:rsidRPr="00962289" w:rsidRDefault="00292B2B" w:rsidP="00F84E4D">
            <w:pPr>
              <w:spacing w:before="40" w:after="4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Catégorie C</w:t>
            </w:r>
          </w:p>
        </w:tc>
        <w:tc>
          <w:tcPr>
            <w:tcW w:w="1744" w:type="dxa"/>
            <w:gridSpan w:val="2"/>
            <w:vAlign w:val="center"/>
          </w:tcPr>
          <w:p w14:paraId="3813B413" w14:textId="77777777" w:rsidR="00292B2B" w:rsidRPr="00962289" w:rsidRDefault="00292B2B" w:rsidP="00F84E4D">
            <w:pPr>
              <w:spacing w:before="40" w:after="4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Total</w:t>
            </w:r>
          </w:p>
        </w:tc>
      </w:tr>
      <w:tr w:rsidR="00292B2B" w14:paraId="7C9A35C8" w14:textId="77777777" w:rsidTr="00E81694">
        <w:trPr>
          <w:trHeight w:val="261"/>
        </w:trPr>
        <w:tc>
          <w:tcPr>
            <w:tcW w:w="1183" w:type="dxa"/>
            <w:tcBorders>
              <w:top w:val="nil"/>
              <w:left w:val="nil"/>
              <w:right w:val="nil"/>
            </w:tcBorders>
          </w:tcPr>
          <w:p w14:paraId="20A2EB5B" w14:textId="77777777" w:rsidR="00292B2B" w:rsidRPr="00962289" w:rsidRDefault="00292B2B" w:rsidP="00F84E4D">
            <w:pPr>
              <w:spacing w:before="40" w:after="40"/>
              <w:jc w:val="center"/>
              <w:outlineLvl w:val="1"/>
              <w:rPr>
                <w:rFonts w:ascii="Arial" w:eastAsia="Times New Roman" w:hAnsi="Arial" w:cs="Arial"/>
                <w:bCs/>
                <w:sz w:val="16"/>
                <w:szCs w:val="16"/>
                <w:lang w:eastAsia="fr-FR"/>
              </w:rPr>
            </w:pPr>
          </w:p>
        </w:tc>
        <w:tc>
          <w:tcPr>
            <w:tcW w:w="1068" w:type="dxa"/>
            <w:tcBorders>
              <w:top w:val="nil"/>
              <w:left w:val="nil"/>
            </w:tcBorders>
          </w:tcPr>
          <w:p w14:paraId="252BD35C" w14:textId="77777777" w:rsidR="00292B2B" w:rsidRPr="00962289" w:rsidRDefault="00292B2B" w:rsidP="00F84E4D">
            <w:pPr>
              <w:spacing w:before="40" w:after="40"/>
              <w:jc w:val="center"/>
              <w:outlineLvl w:val="1"/>
              <w:rPr>
                <w:rFonts w:ascii="Arial" w:eastAsia="Times New Roman" w:hAnsi="Arial" w:cs="Arial"/>
                <w:bCs/>
                <w:sz w:val="16"/>
                <w:szCs w:val="16"/>
                <w:lang w:eastAsia="fr-FR"/>
              </w:rPr>
            </w:pPr>
          </w:p>
        </w:tc>
        <w:tc>
          <w:tcPr>
            <w:tcW w:w="872" w:type="dxa"/>
          </w:tcPr>
          <w:p w14:paraId="1D5826F9" w14:textId="77777777" w:rsidR="00292B2B" w:rsidRPr="00962289" w:rsidRDefault="00292B2B" w:rsidP="00F84E4D">
            <w:pPr>
              <w:spacing w:before="40" w:after="4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Nombre</w:t>
            </w:r>
          </w:p>
        </w:tc>
        <w:tc>
          <w:tcPr>
            <w:tcW w:w="872" w:type="dxa"/>
          </w:tcPr>
          <w:p w14:paraId="59DBDAEC" w14:textId="77777777" w:rsidR="00292B2B" w:rsidRPr="00962289" w:rsidRDefault="00292B2B" w:rsidP="00F84E4D">
            <w:pPr>
              <w:spacing w:before="40" w:after="4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ETP</w:t>
            </w:r>
          </w:p>
        </w:tc>
        <w:tc>
          <w:tcPr>
            <w:tcW w:w="872" w:type="dxa"/>
          </w:tcPr>
          <w:p w14:paraId="626A7FFA" w14:textId="77777777" w:rsidR="00292B2B" w:rsidRPr="00962289" w:rsidRDefault="00292B2B" w:rsidP="00F84E4D">
            <w:pPr>
              <w:spacing w:before="40" w:after="4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Nombre</w:t>
            </w:r>
          </w:p>
        </w:tc>
        <w:tc>
          <w:tcPr>
            <w:tcW w:w="872" w:type="dxa"/>
          </w:tcPr>
          <w:p w14:paraId="2ABC7768" w14:textId="77777777" w:rsidR="00292B2B" w:rsidRPr="00962289" w:rsidRDefault="00292B2B" w:rsidP="00F84E4D">
            <w:pPr>
              <w:spacing w:before="40" w:after="4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ETP</w:t>
            </w:r>
          </w:p>
        </w:tc>
        <w:tc>
          <w:tcPr>
            <w:tcW w:w="872" w:type="dxa"/>
          </w:tcPr>
          <w:p w14:paraId="1B3DA59A" w14:textId="77777777" w:rsidR="00292B2B" w:rsidRPr="00962289" w:rsidRDefault="00292B2B" w:rsidP="00F84E4D">
            <w:pPr>
              <w:spacing w:before="40" w:after="4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Nombre</w:t>
            </w:r>
          </w:p>
        </w:tc>
        <w:tc>
          <w:tcPr>
            <w:tcW w:w="872" w:type="dxa"/>
          </w:tcPr>
          <w:p w14:paraId="2706D01A" w14:textId="77777777" w:rsidR="00292B2B" w:rsidRPr="00962289" w:rsidRDefault="00292B2B" w:rsidP="00F84E4D">
            <w:pPr>
              <w:spacing w:before="40" w:after="4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ETP</w:t>
            </w:r>
          </w:p>
        </w:tc>
        <w:tc>
          <w:tcPr>
            <w:tcW w:w="872" w:type="dxa"/>
          </w:tcPr>
          <w:p w14:paraId="4B6A300A" w14:textId="77777777" w:rsidR="00292B2B" w:rsidRPr="00962289" w:rsidRDefault="00292B2B" w:rsidP="00F84E4D">
            <w:pPr>
              <w:spacing w:before="40" w:after="4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Nombre</w:t>
            </w:r>
          </w:p>
        </w:tc>
        <w:tc>
          <w:tcPr>
            <w:tcW w:w="872" w:type="dxa"/>
          </w:tcPr>
          <w:p w14:paraId="43C1CB1F" w14:textId="77777777" w:rsidR="00292B2B" w:rsidRPr="00962289" w:rsidRDefault="00292B2B" w:rsidP="00F84E4D">
            <w:pPr>
              <w:spacing w:before="40" w:after="4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ETP</w:t>
            </w:r>
          </w:p>
        </w:tc>
      </w:tr>
      <w:tr w:rsidR="00292B2B" w14:paraId="72AF0FD1" w14:textId="77777777" w:rsidTr="00E81694">
        <w:trPr>
          <w:trHeight w:val="261"/>
        </w:trPr>
        <w:tc>
          <w:tcPr>
            <w:tcW w:w="2251" w:type="dxa"/>
            <w:gridSpan w:val="2"/>
          </w:tcPr>
          <w:p w14:paraId="430E2B79" w14:textId="77777777" w:rsidR="00292B2B" w:rsidRPr="00962289" w:rsidRDefault="00292B2B" w:rsidP="00F84E4D">
            <w:pPr>
              <w:spacing w:before="40" w:after="40"/>
              <w:jc w:val="both"/>
              <w:outlineLvl w:val="1"/>
              <w:rPr>
                <w:rFonts w:ascii="Arial" w:eastAsia="Times New Roman" w:hAnsi="Arial" w:cs="Arial"/>
                <w:bCs/>
                <w:sz w:val="16"/>
                <w:szCs w:val="16"/>
                <w:lang w:eastAsia="fr-FR"/>
              </w:rPr>
            </w:pPr>
            <w:r>
              <w:rPr>
                <w:rFonts w:ascii="Arial" w:eastAsia="Times New Roman" w:hAnsi="Arial" w:cs="Arial"/>
                <w:bCs/>
                <w:sz w:val="16"/>
                <w:szCs w:val="16"/>
                <w:lang w:eastAsia="fr-FR"/>
              </w:rPr>
              <w:t>Titulaires</w:t>
            </w:r>
          </w:p>
        </w:tc>
        <w:tc>
          <w:tcPr>
            <w:tcW w:w="872" w:type="dxa"/>
          </w:tcPr>
          <w:p w14:paraId="11A69781" w14:textId="1DFEAB90" w:rsidR="00292B2B" w:rsidRPr="00496B64" w:rsidRDefault="00C672CF"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43</w:t>
            </w:r>
          </w:p>
        </w:tc>
        <w:tc>
          <w:tcPr>
            <w:tcW w:w="872" w:type="dxa"/>
          </w:tcPr>
          <w:p w14:paraId="3F0EDB79" w14:textId="77777777" w:rsidR="00292B2B" w:rsidRPr="00496B64" w:rsidRDefault="00496B64" w:rsidP="00A9423C">
            <w:pPr>
              <w:spacing w:before="40" w:after="40"/>
              <w:ind w:right="113"/>
              <w:jc w:val="right"/>
              <w:outlineLvl w:val="1"/>
              <w:rPr>
                <w:rFonts w:ascii="Arial" w:eastAsia="Times New Roman" w:hAnsi="Arial" w:cs="Arial"/>
                <w:bCs/>
                <w:sz w:val="16"/>
                <w:szCs w:val="16"/>
                <w:lang w:eastAsia="fr-FR"/>
              </w:rPr>
            </w:pPr>
            <w:r w:rsidRPr="00496B64">
              <w:rPr>
                <w:rFonts w:ascii="Arial" w:eastAsia="Times New Roman" w:hAnsi="Arial" w:cs="Arial"/>
                <w:bCs/>
                <w:sz w:val="16"/>
                <w:szCs w:val="16"/>
                <w:lang w:eastAsia="fr-FR"/>
              </w:rPr>
              <w:t>39</w:t>
            </w:r>
          </w:p>
        </w:tc>
        <w:tc>
          <w:tcPr>
            <w:tcW w:w="872" w:type="dxa"/>
          </w:tcPr>
          <w:p w14:paraId="38067FDB" w14:textId="77777777" w:rsidR="00292B2B" w:rsidRPr="00962289" w:rsidRDefault="00292B2B"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w:t>
            </w:r>
            <w:r w:rsidR="004277ED">
              <w:rPr>
                <w:rFonts w:ascii="Arial" w:eastAsia="Times New Roman" w:hAnsi="Arial" w:cs="Arial"/>
                <w:bCs/>
                <w:sz w:val="16"/>
                <w:szCs w:val="16"/>
                <w:lang w:eastAsia="fr-FR"/>
              </w:rPr>
              <w:t>6</w:t>
            </w:r>
          </w:p>
        </w:tc>
        <w:tc>
          <w:tcPr>
            <w:tcW w:w="872" w:type="dxa"/>
          </w:tcPr>
          <w:p w14:paraId="6C63D8A9" w14:textId="77777777" w:rsidR="00292B2B" w:rsidRPr="00962289" w:rsidRDefault="004277ED"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42</w:t>
            </w:r>
            <w:r w:rsidR="00292B2B">
              <w:rPr>
                <w:rFonts w:ascii="Arial" w:eastAsia="Times New Roman" w:hAnsi="Arial" w:cs="Arial"/>
                <w:bCs/>
                <w:sz w:val="16"/>
                <w:szCs w:val="16"/>
                <w:lang w:eastAsia="fr-FR"/>
              </w:rPr>
              <w:t>,</w:t>
            </w:r>
            <w:r>
              <w:rPr>
                <w:rFonts w:ascii="Arial" w:eastAsia="Times New Roman" w:hAnsi="Arial" w:cs="Arial"/>
                <w:bCs/>
                <w:sz w:val="16"/>
                <w:szCs w:val="16"/>
                <w:lang w:eastAsia="fr-FR"/>
              </w:rPr>
              <w:t>4</w:t>
            </w:r>
          </w:p>
        </w:tc>
        <w:tc>
          <w:tcPr>
            <w:tcW w:w="872" w:type="dxa"/>
          </w:tcPr>
          <w:p w14:paraId="4D7BBF02" w14:textId="77777777" w:rsidR="00292B2B" w:rsidRPr="00962289" w:rsidRDefault="00292B2B"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w:t>
            </w:r>
            <w:r w:rsidR="004277ED">
              <w:rPr>
                <w:rFonts w:ascii="Arial" w:eastAsia="Times New Roman" w:hAnsi="Arial" w:cs="Arial"/>
                <w:bCs/>
                <w:sz w:val="16"/>
                <w:szCs w:val="16"/>
                <w:lang w:eastAsia="fr-FR"/>
              </w:rPr>
              <w:t>54</w:t>
            </w:r>
          </w:p>
        </w:tc>
        <w:tc>
          <w:tcPr>
            <w:tcW w:w="872" w:type="dxa"/>
          </w:tcPr>
          <w:p w14:paraId="1F5B940F" w14:textId="77777777" w:rsidR="00292B2B" w:rsidRPr="00962289" w:rsidRDefault="004277ED"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349,5</w:t>
            </w:r>
          </w:p>
        </w:tc>
        <w:tc>
          <w:tcPr>
            <w:tcW w:w="872" w:type="dxa"/>
          </w:tcPr>
          <w:p w14:paraId="174BBF3F" w14:textId="77777777" w:rsidR="00292B2B" w:rsidRPr="00962289" w:rsidRDefault="004277ED"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443</w:t>
            </w:r>
          </w:p>
        </w:tc>
        <w:tc>
          <w:tcPr>
            <w:tcW w:w="872" w:type="dxa"/>
          </w:tcPr>
          <w:p w14:paraId="4FF4856A" w14:textId="2982C784" w:rsidR="00292B2B" w:rsidRPr="00962289" w:rsidRDefault="00C672CF"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430,9</w:t>
            </w:r>
          </w:p>
        </w:tc>
      </w:tr>
      <w:tr w:rsidR="00292B2B" w14:paraId="0A54E140" w14:textId="77777777" w:rsidTr="00E81694">
        <w:trPr>
          <w:trHeight w:val="261"/>
        </w:trPr>
        <w:tc>
          <w:tcPr>
            <w:tcW w:w="2251" w:type="dxa"/>
            <w:gridSpan w:val="2"/>
          </w:tcPr>
          <w:p w14:paraId="40FEBCBD" w14:textId="77777777" w:rsidR="00292B2B" w:rsidRPr="00962289" w:rsidRDefault="00292B2B" w:rsidP="00F84E4D">
            <w:pPr>
              <w:spacing w:before="40" w:after="40"/>
              <w:jc w:val="both"/>
              <w:outlineLvl w:val="1"/>
              <w:rPr>
                <w:rFonts w:ascii="Arial" w:eastAsia="Times New Roman" w:hAnsi="Arial" w:cs="Arial"/>
                <w:bCs/>
                <w:sz w:val="16"/>
                <w:szCs w:val="16"/>
                <w:lang w:eastAsia="fr-FR"/>
              </w:rPr>
            </w:pPr>
            <w:r>
              <w:rPr>
                <w:rFonts w:ascii="Arial" w:eastAsia="Times New Roman" w:hAnsi="Arial" w:cs="Arial"/>
                <w:bCs/>
                <w:sz w:val="16"/>
                <w:szCs w:val="16"/>
                <w:lang w:eastAsia="fr-FR"/>
              </w:rPr>
              <w:t>Non titulaires</w:t>
            </w:r>
          </w:p>
        </w:tc>
        <w:tc>
          <w:tcPr>
            <w:tcW w:w="872" w:type="dxa"/>
          </w:tcPr>
          <w:p w14:paraId="079B6339" w14:textId="77777777" w:rsidR="00292B2B" w:rsidRPr="00962289" w:rsidRDefault="00292B2B"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w:t>
            </w:r>
            <w:r w:rsidR="004277ED">
              <w:rPr>
                <w:rFonts w:ascii="Arial" w:eastAsia="Times New Roman" w:hAnsi="Arial" w:cs="Arial"/>
                <w:bCs/>
                <w:sz w:val="16"/>
                <w:szCs w:val="16"/>
                <w:lang w:eastAsia="fr-FR"/>
              </w:rPr>
              <w:t>1</w:t>
            </w:r>
          </w:p>
        </w:tc>
        <w:tc>
          <w:tcPr>
            <w:tcW w:w="872" w:type="dxa"/>
          </w:tcPr>
          <w:p w14:paraId="6F3A3CE6" w14:textId="77777777" w:rsidR="00292B2B" w:rsidRPr="00962289" w:rsidRDefault="004277ED"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10,34</w:t>
            </w:r>
          </w:p>
        </w:tc>
        <w:tc>
          <w:tcPr>
            <w:tcW w:w="872" w:type="dxa"/>
          </w:tcPr>
          <w:p w14:paraId="283F306D" w14:textId="77777777" w:rsidR="00292B2B" w:rsidRPr="00962289" w:rsidRDefault="00292B2B"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w:t>
            </w:r>
            <w:r w:rsidR="004277ED">
              <w:rPr>
                <w:rFonts w:ascii="Arial" w:eastAsia="Times New Roman" w:hAnsi="Arial" w:cs="Arial"/>
                <w:bCs/>
                <w:sz w:val="16"/>
                <w:szCs w:val="16"/>
                <w:lang w:eastAsia="fr-FR"/>
              </w:rPr>
              <w:t>4</w:t>
            </w:r>
          </w:p>
        </w:tc>
        <w:tc>
          <w:tcPr>
            <w:tcW w:w="872" w:type="dxa"/>
          </w:tcPr>
          <w:p w14:paraId="1B319C98" w14:textId="77777777" w:rsidR="00292B2B" w:rsidRPr="00962289" w:rsidRDefault="004277ED"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13,16</w:t>
            </w:r>
          </w:p>
        </w:tc>
        <w:tc>
          <w:tcPr>
            <w:tcW w:w="872" w:type="dxa"/>
          </w:tcPr>
          <w:p w14:paraId="59512246" w14:textId="77777777" w:rsidR="00292B2B" w:rsidRPr="00962289" w:rsidRDefault="00292B2B"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w:t>
            </w:r>
            <w:r w:rsidR="004277ED">
              <w:rPr>
                <w:rFonts w:ascii="Arial" w:eastAsia="Times New Roman" w:hAnsi="Arial" w:cs="Arial"/>
                <w:bCs/>
                <w:sz w:val="16"/>
                <w:szCs w:val="16"/>
                <w:lang w:eastAsia="fr-FR"/>
              </w:rPr>
              <w:t>07</w:t>
            </w:r>
          </w:p>
        </w:tc>
        <w:tc>
          <w:tcPr>
            <w:tcW w:w="872" w:type="dxa"/>
          </w:tcPr>
          <w:p w14:paraId="189CB3F8" w14:textId="77777777" w:rsidR="00292B2B" w:rsidRPr="00962289" w:rsidRDefault="004277ED"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106,6</w:t>
            </w:r>
          </w:p>
        </w:tc>
        <w:tc>
          <w:tcPr>
            <w:tcW w:w="872" w:type="dxa"/>
          </w:tcPr>
          <w:p w14:paraId="4EB0F115" w14:textId="77777777" w:rsidR="00292B2B" w:rsidRPr="00962289" w:rsidRDefault="004277ED"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132</w:t>
            </w:r>
          </w:p>
        </w:tc>
        <w:tc>
          <w:tcPr>
            <w:tcW w:w="872" w:type="dxa"/>
          </w:tcPr>
          <w:p w14:paraId="751D911C" w14:textId="23423865" w:rsidR="00292B2B" w:rsidRPr="00962289" w:rsidRDefault="00C672CF"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130,1</w:t>
            </w:r>
          </w:p>
        </w:tc>
      </w:tr>
      <w:tr w:rsidR="00292B2B" w14:paraId="17E07BAA" w14:textId="77777777" w:rsidTr="00E81694">
        <w:trPr>
          <w:trHeight w:val="261"/>
        </w:trPr>
        <w:tc>
          <w:tcPr>
            <w:tcW w:w="1183" w:type="dxa"/>
            <w:vMerge w:val="restart"/>
            <w:vAlign w:val="center"/>
          </w:tcPr>
          <w:p w14:paraId="75521450" w14:textId="77777777" w:rsidR="00292B2B" w:rsidRPr="00962289" w:rsidRDefault="00292B2B" w:rsidP="00F84E4D">
            <w:pPr>
              <w:spacing w:before="40" w:after="40"/>
              <w:outlineLvl w:val="1"/>
              <w:rPr>
                <w:rFonts w:ascii="Arial" w:eastAsia="Times New Roman" w:hAnsi="Arial" w:cs="Arial"/>
                <w:bCs/>
                <w:sz w:val="16"/>
                <w:szCs w:val="16"/>
                <w:lang w:eastAsia="fr-FR"/>
              </w:rPr>
            </w:pPr>
            <w:r>
              <w:rPr>
                <w:rFonts w:ascii="Arial" w:eastAsia="Times New Roman" w:hAnsi="Arial" w:cs="Arial"/>
                <w:bCs/>
                <w:sz w:val="16"/>
                <w:szCs w:val="16"/>
                <w:lang w:eastAsia="fr-FR"/>
              </w:rPr>
              <w:t>Non permanents</w:t>
            </w:r>
          </w:p>
        </w:tc>
        <w:tc>
          <w:tcPr>
            <w:tcW w:w="1068" w:type="dxa"/>
          </w:tcPr>
          <w:p w14:paraId="68E22683" w14:textId="77777777" w:rsidR="00292B2B" w:rsidRDefault="00292B2B" w:rsidP="00F84E4D">
            <w:pPr>
              <w:spacing w:before="40" w:after="40"/>
              <w:jc w:val="both"/>
              <w:outlineLvl w:val="1"/>
              <w:rPr>
                <w:rFonts w:ascii="Arial" w:eastAsia="Times New Roman" w:hAnsi="Arial" w:cs="Arial"/>
                <w:bCs/>
                <w:sz w:val="16"/>
                <w:szCs w:val="16"/>
                <w:lang w:eastAsia="fr-FR"/>
              </w:rPr>
            </w:pPr>
            <w:r>
              <w:rPr>
                <w:rFonts w:ascii="Arial" w:eastAsia="Times New Roman" w:hAnsi="Arial" w:cs="Arial"/>
                <w:bCs/>
                <w:sz w:val="16"/>
                <w:szCs w:val="16"/>
                <w:lang w:eastAsia="fr-FR"/>
              </w:rPr>
              <w:t>Horaires</w:t>
            </w:r>
          </w:p>
        </w:tc>
        <w:tc>
          <w:tcPr>
            <w:tcW w:w="872" w:type="dxa"/>
          </w:tcPr>
          <w:p w14:paraId="46EC6DB2" w14:textId="77777777" w:rsidR="00292B2B" w:rsidRPr="00962289" w:rsidRDefault="00292B2B" w:rsidP="00A9423C">
            <w:pPr>
              <w:spacing w:before="40" w:after="40"/>
              <w:ind w:right="113"/>
              <w:jc w:val="right"/>
              <w:outlineLvl w:val="1"/>
              <w:rPr>
                <w:rFonts w:ascii="Arial" w:eastAsia="Times New Roman" w:hAnsi="Arial" w:cs="Arial"/>
                <w:bCs/>
                <w:sz w:val="16"/>
                <w:szCs w:val="16"/>
                <w:lang w:eastAsia="fr-FR"/>
              </w:rPr>
            </w:pPr>
          </w:p>
        </w:tc>
        <w:tc>
          <w:tcPr>
            <w:tcW w:w="872" w:type="dxa"/>
          </w:tcPr>
          <w:p w14:paraId="77391409" w14:textId="77777777" w:rsidR="00292B2B" w:rsidRPr="00962289" w:rsidRDefault="00292B2B" w:rsidP="00A9423C">
            <w:pPr>
              <w:spacing w:before="40" w:after="40"/>
              <w:ind w:right="113"/>
              <w:jc w:val="right"/>
              <w:outlineLvl w:val="1"/>
              <w:rPr>
                <w:rFonts w:ascii="Arial" w:eastAsia="Times New Roman" w:hAnsi="Arial" w:cs="Arial"/>
                <w:bCs/>
                <w:sz w:val="16"/>
                <w:szCs w:val="16"/>
                <w:lang w:eastAsia="fr-FR"/>
              </w:rPr>
            </w:pPr>
          </w:p>
        </w:tc>
        <w:tc>
          <w:tcPr>
            <w:tcW w:w="872" w:type="dxa"/>
          </w:tcPr>
          <w:p w14:paraId="63C29D52" w14:textId="77777777" w:rsidR="00292B2B" w:rsidRPr="00962289" w:rsidRDefault="00292B2B" w:rsidP="00A9423C">
            <w:pPr>
              <w:spacing w:before="40" w:after="40"/>
              <w:ind w:right="113"/>
              <w:jc w:val="right"/>
              <w:outlineLvl w:val="1"/>
              <w:rPr>
                <w:rFonts w:ascii="Arial" w:eastAsia="Times New Roman" w:hAnsi="Arial" w:cs="Arial"/>
                <w:bCs/>
                <w:sz w:val="16"/>
                <w:szCs w:val="16"/>
                <w:lang w:eastAsia="fr-FR"/>
              </w:rPr>
            </w:pPr>
          </w:p>
        </w:tc>
        <w:tc>
          <w:tcPr>
            <w:tcW w:w="872" w:type="dxa"/>
          </w:tcPr>
          <w:p w14:paraId="3C1A3CF7" w14:textId="77777777" w:rsidR="00292B2B" w:rsidRPr="00962289" w:rsidRDefault="00292B2B" w:rsidP="00A9423C">
            <w:pPr>
              <w:spacing w:before="40" w:after="40"/>
              <w:ind w:right="113"/>
              <w:jc w:val="right"/>
              <w:outlineLvl w:val="1"/>
              <w:rPr>
                <w:rFonts w:ascii="Arial" w:eastAsia="Times New Roman" w:hAnsi="Arial" w:cs="Arial"/>
                <w:bCs/>
                <w:sz w:val="16"/>
                <w:szCs w:val="16"/>
                <w:lang w:eastAsia="fr-FR"/>
              </w:rPr>
            </w:pPr>
          </w:p>
        </w:tc>
        <w:tc>
          <w:tcPr>
            <w:tcW w:w="872" w:type="dxa"/>
          </w:tcPr>
          <w:p w14:paraId="55A191F7" w14:textId="77777777" w:rsidR="00292B2B" w:rsidRPr="00496B64" w:rsidRDefault="00496B64" w:rsidP="00A9423C">
            <w:pPr>
              <w:spacing w:before="40" w:after="40"/>
              <w:ind w:right="113"/>
              <w:jc w:val="right"/>
              <w:outlineLvl w:val="1"/>
              <w:rPr>
                <w:rFonts w:ascii="Arial" w:eastAsia="Times New Roman" w:hAnsi="Arial" w:cs="Arial"/>
                <w:bCs/>
                <w:sz w:val="16"/>
                <w:szCs w:val="16"/>
                <w:lang w:eastAsia="fr-FR"/>
              </w:rPr>
            </w:pPr>
            <w:r w:rsidRPr="00496B64">
              <w:rPr>
                <w:rFonts w:ascii="Arial" w:eastAsia="Times New Roman" w:hAnsi="Arial" w:cs="Arial"/>
                <w:bCs/>
                <w:sz w:val="16"/>
                <w:szCs w:val="16"/>
                <w:lang w:eastAsia="fr-FR"/>
              </w:rPr>
              <w:t>298</w:t>
            </w:r>
          </w:p>
        </w:tc>
        <w:tc>
          <w:tcPr>
            <w:tcW w:w="872" w:type="dxa"/>
          </w:tcPr>
          <w:p w14:paraId="3269A073" w14:textId="77777777" w:rsidR="00292B2B" w:rsidRPr="00496B64" w:rsidRDefault="00496B64" w:rsidP="00A9423C">
            <w:pPr>
              <w:spacing w:before="40" w:after="40"/>
              <w:ind w:right="113"/>
              <w:jc w:val="right"/>
              <w:outlineLvl w:val="1"/>
              <w:rPr>
                <w:rFonts w:ascii="Arial" w:eastAsia="Times New Roman" w:hAnsi="Arial" w:cs="Arial"/>
                <w:bCs/>
                <w:sz w:val="16"/>
                <w:szCs w:val="16"/>
                <w:lang w:eastAsia="fr-FR"/>
              </w:rPr>
            </w:pPr>
            <w:r w:rsidRPr="00496B64">
              <w:rPr>
                <w:rFonts w:ascii="Arial" w:eastAsia="Times New Roman" w:hAnsi="Arial" w:cs="Arial"/>
                <w:bCs/>
                <w:sz w:val="16"/>
                <w:szCs w:val="16"/>
                <w:lang w:eastAsia="fr-FR"/>
              </w:rPr>
              <w:t>81,6</w:t>
            </w:r>
          </w:p>
        </w:tc>
        <w:tc>
          <w:tcPr>
            <w:tcW w:w="872" w:type="dxa"/>
          </w:tcPr>
          <w:p w14:paraId="193D2EF3" w14:textId="77777777" w:rsidR="00292B2B" w:rsidRPr="00496B64" w:rsidRDefault="00496B64"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298</w:t>
            </w:r>
          </w:p>
        </w:tc>
        <w:tc>
          <w:tcPr>
            <w:tcW w:w="872" w:type="dxa"/>
          </w:tcPr>
          <w:p w14:paraId="5B3EEB94" w14:textId="77777777" w:rsidR="00292B2B" w:rsidRPr="00496B64" w:rsidRDefault="00496B64"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81,6</w:t>
            </w:r>
          </w:p>
        </w:tc>
      </w:tr>
      <w:tr w:rsidR="00292B2B" w14:paraId="1D1ADAC7" w14:textId="77777777" w:rsidTr="00E81694">
        <w:trPr>
          <w:trHeight w:val="143"/>
        </w:trPr>
        <w:tc>
          <w:tcPr>
            <w:tcW w:w="1183" w:type="dxa"/>
            <w:vMerge/>
          </w:tcPr>
          <w:p w14:paraId="19F4D5A4" w14:textId="77777777" w:rsidR="00292B2B" w:rsidRPr="00962289" w:rsidRDefault="00292B2B" w:rsidP="00F84E4D">
            <w:pPr>
              <w:spacing w:before="40" w:after="40"/>
              <w:jc w:val="both"/>
              <w:outlineLvl w:val="1"/>
              <w:rPr>
                <w:rFonts w:ascii="Arial" w:eastAsia="Times New Roman" w:hAnsi="Arial" w:cs="Arial"/>
                <w:bCs/>
                <w:sz w:val="16"/>
                <w:szCs w:val="16"/>
                <w:lang w:eastAsia="fr-FR"/>
              </w:rPr>
            </w:pPr>
          </w:p>
        </w:tc>
        <w:tc>
          <w:tcPr>
            <w:tcW w:w="1068" w:type="dxa"/>
          </w:tcPr>
          <w:p w14:paraId="60B4C6D9" w14:textId="77777777" w:rsidR="00292B2B" w:rsidRPr="00962289" w:rsidRDefault="00292B2B" w:rsidP="00F84E4D">
            <w:pPr>
              <w:spacing w:before="40" w:after="40"/>
              <w:jc w:val="both"/>
              <w:outlineLvl w:val="1"/>
              <w:rPr>
                <w:rFonts w:ascii="Arial" w:eastAsia="Times New Roman" w:hAnsi="Arial" w:cs="Arial"/>
                <w:bCs/>
                <w:sz w:val="16"/>
                <w:szCs w:val="16"/>
                <w:lang w:eastAsia="fr-FR"/>
              </w:rPr>
            </w:pPr>
            <w:r>
              <w:rPr>
                <w:rFonts w:ascii="Arial" w:eastAsia="Times New Roman" w:hAnsi="Arial" w:cs="Arial"/>
                <w:bCs/>
                <w:sz w:val="16"/>
                <w:szCs w:val="16"/>
                <w:lang w:eastAsia="fr-FR"/>
              </w:rPr>
              <w:t>Vacataires</w:t>
            </w:r>
          </w:p>
        </w:tc>
        <w:tc>
          <w:tcPr>
            <w:tcW w:w="872" w:type="dxa"/>
          </w:tcPr>
          <w:p w14:paraId="123D5D9C" w14:textId="77777777" w:rsidR="00292B2B" w:rsidRPr="00962289" w:rsidRDefault="00292B2B" w:rsidP="00A9423C">
            <w:pPr>
              <w:spacing w:before="40" w:after="40"/>
              <w:ind w:right="113"/>
              <w:jc w:val="right"/>
              <w:outlineLvl w:val="1"/>
              <w:rPr>
                <w:rFonts w:ascii="Arial" w:eastAsia="Times New Roman" w:hAnsi="Arial" w:cs="Arial"/>
                <w:bCs/>
                <w:sz w:val="16"/>
                <w:szCs w:val="16"/>
                <w:lang w:eastAsia="fr-FR"/>
              </w:rPr>
            </w:pPr>
          </w:p>
        </w:tc>
        <w:tc>
          <w:tcPr>
            <w:tcW w:w="872" w:type="dxa"/>
          </w:tcPr>
          <w:p w14:paraId="573CD6ED" w14:textId="77777777" w:rsidR="00292B2B" w:rsidRPr="00962289" w:rsidRDefault="00292B2B" w:rsidP="00A9423C">
            <w:pPr>
              <w:spacing w:before="40" w:after="40"/>
              <w:ind w:right="113"/>
              <w:jc w:val="right"/>
              <w:outlineLvl w:val="1"/>
              <w:rPr>
                <w:rFonts w:ascii="Arial" w:eastAsia="Times New Roman" w:hAnsi="Arial" w:cs="Arial"/>
                <w:bCs/>
                <w:sz w:val="16"/>
                <w:szCs w:val="16"/>
                <w:lang w:eastAsia="fr-FR"/>
              </w:rPr>
            </w:pPr>
          </w:p>
        </w:tc>
        <w:tc>
          <w:tcPr>
            <w:tcW w:w="872" w:type="dxa"/>
          </w:tcPr>
          <w:p w14:paraId="540E3736" w14:textId="77777777" w:rsidR="00292B2B" w:rsidRPr="00962289" w:rsidRDefault="00292B2B" w:rsidP="00A9423C">
            <w:pPr>
              <w:spacing w:before="40" w:after="40"/>
              <w:ind w:right="113"/>
              <w:jc w:val="right"/>
              <w:outlineLvl w:val="1"/>
              <w:rPr>
                <w:rFonts w:ascii="Arial" w:eastAsia="Times New Roman" w:hAnsi="Arial" w:cs="Arial"/>
                <w:bCs/>
                <w:sz w:val="16"/>
                <w:szCs w:val="16"/>
                <w:lang w:eastAsia="fr-FR"/>
              </w:rPr>
            </w:pPr>
          </w:p>
        </w:tc>
        <w:tc>
          <w:tcPr>
            <w:tcW w:w="872" w:type="dxa"/>
          </w:tcPr>
          <w:p w14:paraId="4068E8C9" w14:textId="77777777" w:rsidR="00292B2B" w:rsidRPr="00962289" w:rsidRDefault="00292B2B" w:rsidP="00A9423C">
            <w:pPr>
              <w:spacing w:before="40" w:after="40"/>
              <w:ind w:right="113"/>
              <w:jc w:val="right"/>
              <w:outlineLvl w:val="1"/>
              <w:rPr>
                <w:rFonts w:ascii="Arial" w:eastAsia="Times New Roman" w:hAnsi="Arial" w:cs="Arial"/>
                <w:bCs/>
                <w:sz w:val="16"/>
                <w:szCs w:val="16"/>
                <w:lang w:eastAsia="fr-FR"/>
              </w:rPr>
            </w:pPr>
          </w:p>
        </w:tc>
        <w:tc>
          <w:tcPr>
            <w:tcW w:w="872" w:type="dxa"/>
          </w:tcPr>
          <w:p w14:paraId="13B73C84" w14:textId="77777777" w:rsidR="00292B2B" w:rsidRPr="00962289" w:rsidRDefault="004277ED" w:rsidP="004277ED">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15</w:t>
            </w:r>
          </w:p>
        </w:tc>
        <w:tc>
          <w:tcPr>
            <w:tcW w:w="872" w:type="dxa"/>
          </w:tcPr>
          <w:p w14:paraId="77995117" w14:textId="77777777" w:rsidR="00292B2B" w:rsidRPr="00962289" w:rsidRDefault="004277ED"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w:t>
            </w:r>
          </w:p>
        </w:tc>
        <w:tc>
          <w:tcPr>
            <w:tcW w:w="872" w:type="dxa"/>
          </w:tcPr>
          <w:p w14:paraId="4FC8E7F3" w14:textId="77777777" w:rsidR="00292B2B" w:rsidRPr="00962289" w:rsidRDefault="004277ED"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15</w:t>
            </w:r>
          </w:p>
        </w:tc>
        <w:tc>
          <w:tcPr>
            <w:tcW w:w="872" w:type="dxa"/>
          </w:tcPr>
          <w:p w14:paraId="69773436" w14:textId="74FB833B" w:rsidR="00292B2B" w:rsidRPr="00962289" w:rsidRDefault="00292B2B"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w:t>
            </w:r>
          </w:p>
        </w:tc>
      </w:tr>
      <w:tr w:rsidR="00292B2B" w14:paraId="4FA970CA" w14:textId="77777777" w:rsidTr="00E81694">
        <w:trPr>
          <w:trHeight w:val="143"/>
        </w:trPr>
        <w:tc>
          <w:tcPr>
            <w:tcW w:w="1183" w:type="dxa"/>
            <w:vMerge/>
            <w:tcBorders>
              <w:bottom w:val="single" w:sz="4" w:space="0" w:color="000000" w:themeColor="text1"/>
            </w:tcBorders>
          </w:tcPr>
          <w:p w14:paraId="2A47D1FF" w14:textId="77777777" w:rsidR="00292B2B" w:rsidRPr="00962289" w:rsidRDefault="00292B2B" w:rsidP="00F84E4D">
            <w:pPr>
              <w:spacing w:before="40" w:after="40"/>
              <w:jc w:val="both"/>
              <w:outlineLvl w:val="1"/>
              <w:rPr>
                <w:rFonts w:ascii="Arial" w:eastAsia="Times New Roman" w:hAnsi="Arial" w:cs="Arial"/>
                <w:bCs/>
                <w:sz w:val="16"/>
                <w:szCs w:val="16"/>
                <w:lang w:eastAsia="fr-FR"/>
              </w:rPr>
            </w:pPr>
          </w:p>
        </w:tc>
        <w:tc>
          <w:tcPr>
            <w:tcW w:w="1068" w:type="dxa"/>
          </w:tcPr>
          <w:p w14:paraId="204FE4FA" w14:textId="77777777" w:rsidR="00292B2B" w:rsidRPr="00962289" w:rsidRDefault="00292B2B" w:rsidP="00F84E4D">
            <w:pPr>
              <w:spacing w:before="40" w:after="40"/>
              <w:jc w:val="both"/>
              <w:outlineLvl w:val="1"/>
              <w:rPr>
                <w:rFonts w:ascii="Arial" w:eastAsia="Times New Roman" w:hAnsi="Arial" w:cs="Arial"/>
                <w:bCs/>
                <w:sz w:val="16"/>
                <w:szCs w:val="16"/>
                <w:lang w:eastAsia="fr-FR"/>
              </w:rPr>
            </w:pPr>
            <w:r>
              <w:rPr>
                <w:rFonts w:ascii="Arial" w:eastAsia="Times New Roman" w:hAnsi="Arial" w:cs="Arial"/>
                <w:bCs/>
                <w:sz w:val="16"/>
                <w:szCs w:val="16"/>
                <w:lang w:eastAsia="fr-FR"/>
              </w:rPr>
              <w:t>Apprentis</w:t>
            </w:r>
          </w:p>
        </w:tc>
        <w:tc>
          <w:tcPr>
            <w:tcW w:w="872" w:type="dxa"/>
          </w:tcPr>
          <w:p w14:paraId="34100D48" w14:textId="77777777" w:rsidR="00292B2B" w:rsidRPr="00962289" w:rsidRDefault="00292B2B" w:rsidP="00A9423C">
            <w:pPr>
              <w:spacing w:before="40" w:after="40"/>
              <w:ind w:right="113"/>
              <w:jc w:val="right"/>
              <w:outlineLvl w:val="1"/>
              <w:rPr>
                <w:rFonts w:ascii="Arial" w:eastAsia="Times New Roman" w:hAnsi="Arial" w:cs="Arial"/>
                <w:bCs/>
                <w:sz w:val="16"/>
                <w:szCs w:val="16"/>
                <w:lang w:eastAsia="fr-FR"/>
              </w:rPr>
            </w:pPr>
          </w:p>
        </w:tc>
        <w:tc>
          <w:tcPr>
            <w:tcW w:w="872" w:type="dxa"/>
          </w:tcPr>
          <w:p w14:paraId="66DA616A" w14:textId="77777777" w:rsidR="00292B2B" w:rsidRPr="00962289" w:rsidRDefault="00292B2B" w:rsidP="00A9423C">
            <w:pPr>
              <w:spacing w:before="40" w:after="40"/>
              <w:ind w:right="113"/>
              <w:jc w:val="right"/>
              <w:outlineLvl w:val="1"/>
              <w:rPr>
                <w:rFonts w:ascii="Arial" w:eastAsia="Times New Roman" w:hAnsi="Arial" w:cs="Arial"/>
                <w:bCs/>
                <w:sz w:val="16"/>
                <w:szCs w:val="16"/>
                <w:lang w:eastAsia="fr-FR"/>
              </w:rPr>
            </w:pPr>
          </w:p>
        </w:tc>
        <w:tc>
          <w:tcPr>
            <w:tcW w:w="872" w:type="dxa"/>
          </w:tcPr>
          <w:p w14:paraId="62D80CAD" w14:textId="77777777" w:rsidR="00292B2B" w:rsidRPr="00962289" w:rsidRDefault="00292B2B" w:rsidP="00A9423C">
            <w:pPr>
              <w:spacing w:before="40" w:after="40"/>
              <w:ind w:right="113"/>
              <w:jc w:val="right"/>
              <w:outlineLvl w:val="1"/>
              <w:rPr>
                <w:rFonts w:ascii="Arial" w:eastAsia="Times New Roman" w:hAnsi="Arial" w:cs="Arial"/>
                <w:bCs/>
                <w:sz w:val="16"/>
                <w:szCs w:val="16"/>
                <w:lang w:eastAsia="fr-FR"/>
              </w:rPr>
            </w:pPr>
          </w:p>
        </w:tc>
        <w:tc>
          <w:tcPr>
            <w:tcW w:w="872" w:type="dxa"/>
          </w:tcPr>
          <w:p w14:paraId="156B3BA4" w14:textId="77777777" w:rsidR="00292B2B" w:rsidRPr="00962289" w:rsidRDefault="00292B2B" w:rsidP="00A9423C">
            <w:pPr>
              <w:spacing w:before="40" w:after="40"/>
              <w:ind w:right="113"/>
              <w:jc w:val="right"/>
              <w:outlineLvl w:val="1"/>
              <w:rPr>
                <w:rFonts w:ascii="Arial" w:eastAsia="Times New Roman" w:hAnsi="Arial" w:cs="Arial"/>
                <w:bCs/>
                <w:sz w:val="16"/>
                <w:szCs w:val="16"/>
                <w:lang w:eastAsia="fr-FR"/>
              </w:rPr>
            </w:pPr>
          </w:p>
        </w:tc>
        <w:tc>
          <w:tcPr>
            <w:tcW w:w="872" w:type="dxa"/>
          </w:tcPr>
          <w:p w14:paraId="4DDBC08B" w14:textId="77777777" w:rsidR="00292B2B" w:rsidRPr="00962289" w:rsidRDefault="004277ED"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w:t>
            </w:r>
          </w:p>
        </w:tc>
        <w:tc>
          <w:tcPr>
            <w:tcW w:w="872" w:type="dxa"/>
          </w:tcPr>
          <w:p w14:paraId="027676A8" w14:textId="77777777" w:rsidR="00292B2B" w:rsidRPr="00962289" w:rsidRDefault="004277ED"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w:t>
            </w:r>
          </w:p>
        </w:tc>
        <w:tc>
          <w:tcPr>
            <w:tcW w:w="872" w:type="dxa"/>
          </w:tcPr>
          <w:p w14:paraId="15B2BC90" w14:textId="77777777" w:rsidR="00292B2B" w:rsidRPr="00962289" w:rsidRDefault="004277ED"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w:t>
            </w:r>
          </w:p>
        </w:tc>
        <w:tc>
          <w:tcPr>
            <w:tcW w:w="872" w:type="dxa"/>
          </w:tcPr>
          <w:p w14:paraId="04F89644" w14:textId="77777777" w:rsidR="00292B2B" w:rsidRPr="00962289" w:rsidRDefault="004277ED"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w:t>
            </w:r>
          </w:p>
        </w:tc>
      </w:tr>
      <w:tr w:rsidR="00292B2B" w14:paraId="572A8F11" w14:textId="77777777" w:rsidTr="00E81694">
        <w:trPr>
          <w:trHeight w:val="273"/>
        </w:trPr>
        <w:tc>
          <w:tcPr>
            <w:tcW w:w="1183" w:type="dxa"/>
            <w:tcBorders>
              <w:top w:val="nil"/>
              <w:left w:val="single" w:sz="4" w:space="0" w:color="000000" w:themeColor="text1"/>
              <w:bottom w:val="single" w:sz="4" w:space="0" w:color="000000" w:themeColor="text1"/>
              <w:right w:val="nil"/>
            </w:tcBorders>
          </w:tcPr>
          <w:p w14:paraId="3258D72A" w14:textId="77777777" w:rsidR="00292B2B" w:rsidRPr="00962289" w:rsidRDefault="00862A83" w:rsidP="00F84E4D">
            <w:pPr>
              <w:spacing w:before="40" w:after="40"/>
              <w:jc w:val="both"/>
              <w:outlineLvl w:val="1"/>
              <w:rPr>
                <w:rFonts w:ascii="Arial" w:eastAsia="Times New Roman" w:hAnsi="Arial" w:cs="Arial"/>
                <w:bCs/>
                <w:sz w:val="16"/>
                <w:szCs w:val="16"/>
                <w:lang w:eastAsia="fr-FR"/>
              </w:rPr>
            </w:pPr>
            <w:r>
              <w:rPr>
                <w:rFonts w:ascii="Arial" w:eastAsia="Times New Roman" w:hAnsi="Arial" w:cs="Arial"/>
                <w:bCs/>
                <w:sz w:val="16"/>
                <w:szCs w:val="16"/>
                <w:lang w:eastAsia="fr-FR"/>
              </w:rPr>
              <w:t>Total</w:t>
            </w:r>
          </w:p>
        </w:tc>
        <w:tc>
          <w:tcPr>
            <w:tcW w:w="1068" w:type="dxa"/>
            <w:tcBorders>
              <w:left w:val="nil"/>
              <w:bottom w:val="single" w:sz="4" w:space="0" w:color="000000" w:themeColor="text1"/>
            </w:tcBorders>
          </w:tcPr>
          <w:p w14:paraId="154341AC" w14:textId="77777777" w:rsidR="00292B2B" w:rsidRPr="00962289" w:rsidRDefault="00292B2B" w:rsidP="00F84E4D">
            <w:pPr>
              <w:spacing w:before="40" w:after="40"/>
              <w:jc w:val="both"/>
              <w:outlineLvl w:val="1"/>
              <w:rPr>
                <w:rFonts w:ascii="Arial" w:eastAsia="Times New Roman" w:hAnsi="Arial" w:cs="Arial"/>
                <w:bCs/>
                <w:sz w:val="16"/>
                <w:szCs w:val="16"/>
                <w:lang w:eastAsia="fr-FR"/>
              </w:rPr>
            </w:pPr>
          </w:p>
        </w:tc>
        <w:tc>
          <w:tcPr>
            <w:tcW w:w="872" w:type="dxa"/>
          </w:tcPr>
          <w:p w14:paraId="503B2E0A" w14:textId="3392C299" w:rsidR="00292B2B" w:rsidRPr="00962289" w:rsidRDefault="004277ED"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w:t>
            </w:r>
            <w:r w:rsidR="00C672CF">
              <w:rPr>
                <w:rFonts w:ascii="Arial" w:eastAsia="Times New Roman" w:hAnsi="Arial" w:cs="Arial"/>
                <w:bCs/>
                <w:sz w:val="16"/>
                <w:szCs w:val="16"/>
                <w:lang w:eastAsia="fr-FR"/>
              </w:rPr>
              <w:t>4</w:t>
            </w:r>
          </w:p>
        </w:tc>
        <w:tc>
          <w:tcPr>
            <w:tcW w:w="872" w:type="dxa"/>
          </w:tcPr>
          <w:p w14:paraId="09620536" w14:textId="77777777" w:rsidR="00292B2B" w:rsidRPr="00962289" w:rsidRDefault="00496B64"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49,34</w:t>
            </w:r>
          </w:p>
        </w:tc>
        <w:tc>
          <w:tcPr>
            <w:tcW w:w="872" w:type="dxa"/>
          </w:tcPr>
          <w:p w14:paraId="106E985A" w14:textId="77777777" w:rsidR="00292B2B" w:rsidRPr="00962289" w:rsidRDefault="004277ED"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60</w:t>
            </w:r>
          </w:p>
        </w:tc>
        <w:tc>
          <w:tcPr>
            <w:tcW w:w="872" w:type="dxa"/>
          </w:tcPr>
          <w:p w14:paraId="7DD75CDA" w14:textId="77777777" w:rsidR="00292B2B" w:rsidRPr="00962289" w:rsidRDefault="004277ED"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55,56</w:t>
            </w:r>
          </w:p>
        </w:tc>
        <w:tc>
          <w:tcPr>
            <w:tcW w:w="872" w:type="dxa"/>
          </w:tcPr>
          <w:p w14:paraId="4A12252F" w14:textId="77777777" w:rsidR="00292B2B" w:rsidRPr="00962289" w:rsidRDefault="00496B64"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778</w:t>
            </w:r>
          </w:p>
        </w:tc>
        <w:tc>
          <w:tcPr>
            <w:tcW w:w="872" w:type="dxa"/>
          </w:tcPr>
          <w:p w14:paraId="35295E02" w14:textId="77777777" w:rsidR="00292B2B" w:rsidRPr="00962289" w:rsidRDefault="00496B64"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544,7</w:t>
            </w:r>
          </w:p>
        </w:tc>
        <w:tc>
          <w:tcPr>
            <w:tcW w:w="872" w:type="dxa"/>
          </w:tcPr>
          <w:p w14:paraId="0F0835B7" w14:textId="77777777" w:rsidR="00292B2B" w:rsidRPr="00962289" w:rsidRDefault="00496B64"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892</w:t>
            </w:r>
          </w:p>
        </w:tc>
        <w:tc>
          <w:tcPr>
            <w:tcW w:w="872" w:type="dxa"/>
          </w:tcPr>
          <w:p w14:paraId="49016FCB" w14:textId="2E8135A4" w:rsidR="00292B2B" w:rsidRPr="00962289" w:rsidRDefault="00C672CF" w:rsidP="00A9423C">
            <w:pPr>
              <w:spacing w:before="40" w:after="40"/>
              <w:ind w:right="113"/>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649,6</w:t>
            </w:r>
          </w:p>
        </w:tc>
      </w:tr>
    </w:tbl>
    <w:p w14:paraId="16BF7497" w14:textId="77777777" w:rsidR="00962289" w:rsidRPr="00FE5EE8" w:rsidRDefault="00962289" w:rsidP="00A466D9">
      <w:pPr>
        <w:jc w:val="both"/>
        <w:outlineLvl w:val="1"/>
        <w:rPr>
          <w:rFonts w:ascii="Arial" w:eastAsia="Times New Roman" w:hAnsi="Arial" w:cs="Arial"/>
          <w:bCs/>
          <w:sz w:val="20"/>
          <w:szCs w:val="20"/>
          <w:lang w:eastAsia="fr-FR"/>
        </w:rPr>
      </w:pPr>
    </w:p>
    <w:p w14:paraId="49E89088" w14:textId="77777777" w:rsidR="007B02E0" w:rsidRPr="00C17830" w:rsidRDefault="007B02E0" w:rsidP="007B02E0">
      <w:pPr>
        <w:jc w:val="both"/>
        <w:outlineLvl w:val="1"/>
        <w:rPr>
          <w:rFonts w:ascii="Arial" w:eastAsia="Times New Roman" w:hAnsi="Arial" w:cs="Arial"/>
          <w:bCs/>
          <w:sz w:val="20"/>
          <w:szCs w:val="20"/>
          <w:lang w:eastAsia="fr-FR"/>
        </w:rPr>
      </w:pPr>
      <w:r w:rsidRPr="00C17830">
        <w:rPr>
          <w:rFonts w:ascii="Arial" w:eastAsia="Times New Roman" w:hAnsi="Arial" w:cs="Arial"/>
          <w:bCs/>
          <w:sz w:val="20"/>
          <w:szCs w:val="20"/>
          <w:lang w:eastAsia="fr-FR"/>
        </w:rPr>
        <w:lastRenderedPageBreak/>
        <w:t xml:space="preserve">Les effectifs sont gérés strictement, l’évolution du nombre d’emplois permanents sur les années 2021 – 2023 étant le résultat </w:t>
      </w:r>
      <w:r w:rsidR="00F85D94" w:rsidRPr="00F85D94">
        <w:rPr>
          <w:rFonts w:ascii="Arial" w:eastAsia="Times New Roman" w:hAnsi="Arial" w:cs="Arial"/>
          <w:bCs/>
          <w:sz w:val="20"/>
          <w:szCs w:val="20"/>
          <w:lang w:eastAsia="fr-FR"/>
        </w:rPr>
        <w:t>à la fois</w:t>
      </w:r>
      <w:r w:rsidRPr="00C17830">
        <w:rPr>
          <w:rFonts w:ascii="Arial" w:eastAsia="Times New Roman" w:hAnsi="Arial" w:cs="Arial"/>
          <w:bCs/>
          <w:sz w:val="20"/>
          <w:szCs w:val="20"/>
          <w:lang w:eastAsia="fr-FR"/>
        </w:rPr>
        <w:t xml:space="preserve"> </w:t>
      </w:r>
      <w:r w:rsidR="00F85D94" w:rsidRPr="00F85D94">
        <w:rPr>
          <w:rFonts w:ascii="Arial" w:eastAsia="Times New Roman" w:hAnsi="Arial" w:cs="Arial"/>
          <w:bCs/>
          <w:sz w:val="20"/>
          <w:szCs w:val="20"/>
          <w:lang w:eastAsia="fr-FR"/>
        </w:rPr>
        <w:t xml:space="preserve">d’une politique volontariste en matière de résorption de l’emploi </w:t>
      </w:r>
      <w:proofErr w:type="gramStart"/>
      <w:r w:rsidR="00F85D94" w:rsidRPr="00F85D94">
        <w:rPr>
          <w:rFonts w:ascii="Arial" w:eastAsia="Times New Roman" w:hAnsi="Arial" w:cs="Arial"/>
          <w:bCs/>
          <w:sz w:val="20"/>
          <w:szCs w:val="20"/>
          <w:lang w:eastAsia="fr-FR"/>
        </w:rPr>
        <w:t>précaire  avec</w:t>
      </w:r>
      <w:proofErr w:type="gramEnd"/>
      <w:r w:rsidRPr="00C17830">
        <w:rPr>
          <w:rFonts w:ascii="Arial" w:eastAsia="Times New Roman" w:hAnsi="Arial" w:cs="Arial"/>
          <w:bCs/>
          <w:sz w:val="20"/>
          <w:szCs w:val="20"/>
          <w:lang w:eastAsia="fr-FR"/>
        </w:rPr>
        <w:t xml:space="preserve"> la mensualisation de vacataires, </w:t>
      </w:r>
      <w:r w:rsidR="00F85D94" w:rsidRPr="00F85D94">
        <w:rPr>
          <w:rFonts w:ascii="Arial" w:eastAsia="Times New Roman" w:hAnsi="Arial" w:cs="Arial"/>
          <w:bCs/>
          <w:sz w:val="20"/>
          <w:szCs w:val="20"/>
          <w:lang w:eastAsia="fr-FR"/>
        </w:rPr>
        <w:t>voire de mise en stage quand les postes se révèlent permanents au gré de l’amélioration des politiques publiques engagées</w:t>
      </w:r>
      <w:r w:rsidRPr="00C17830">
        <w:rPr>
          <w:rFonts w:ascii="Arial" w:eastAsia="Times New Roman" w:hAnsi="Arial" w:cs="Arial"/>
          <w:bCs/>
          <w:sz w:val="20"/>
          <w:szCs w:val="20"/>
          <w:lang w:eastAsia="fr-FR"/>
        </w:rPr>
        <w:t>, m</w:t>
      </w:r>
      <w:r w:rsidR="00F85D94" w:rsidRPr="00F85D94">
        <w:rPr>
          <w:rFonts w:ascii="Arial" w:eastAsia="Times New Roman" w:hAnsi="Arial" w:cs="Arial"/>
          <w:bCs/>
          <w:sz w:val="20"/>
          <w:szCs w:val="20"/>
          <w:lang w:eastAsia="fr-FR"/>
        </w:rPr>
        <w:t>ais également par l’analyse des postes, des processus et des organisations.</w:t>
      </w:r>
    </w:p>
    <w:p w14:paraId="79FD9CC6" w14:textId="77777777" w:rsidR="007B02E0" w:rsidRPr="00C17830" w:rsidRDefault="007B02E0" w:rsidP="007B02E0">
      <w:pPr>
        <w:jc w:val="both"/>
        <w:outlineLvl w:val="1"/>
        <w:rPr>
          <w:rFonts w:ascii="Arial" w:eastAsia="Times New Roman" w:hAnsi="Arial" w:cs="Arial"/>
          <w:bCs/>
          <w:sz w:val="20"/>
          <w:szCs w:val="20"/>
          <w:lang w:eastAsia="fr-FR"/>
        </w:rPr>
      </w:pPr>
      <w:r w:rsidRPr="00C17830">
        <w:rPr>
          <w:rFonts w:ascii="Arial" w:eastAsia="Times New Roman" w:hAnsi="Arial" w:cs="Arial"/>
          <w:bCs/>
          <w:sz w:val="20"/>
          <w:szCs w:val="20"/>
          <w:lang w:eastAsia="fr-FR"/>
        </w:rPr>
        <w:t xml:space="preserve">A chaque vacance de poste, le remplacement est </w:t>
      </w:r>
      <w:r w:rsidR="00F85D94" w:rsidRPr="00F85D94">
        <w:rPr>
          <w:rFonts w:ascii="Arial" w:eastAsia="Times New Roman" w:hAnsi="Arial" w:cs="Arial"/>
          <w:bCs/>
          <w:sz w:val="20"/>
          <w:szCs w:val="20"/>
          <w:lang w:eastAsia="fr-FR"/>
        </w:rPr>
        <w:t xml:space="preserve">systématiquement </w:t>
      </w:r>
      <w:r w:rsidRPr="00C17830">
        <w:rPr>
          <w:rFonts w:ascii="Arial" w:eastAsia="Times New Roman" w:hAnsi="Arial" w:cs="Arial"/>
          <w:bCs/>
          <w:sz w:val="20"/>
          <w:szCs w:val="20"/>
          <w:lang w:eastAsia="fr-FR"/>
        </w:rPr>
        <w:t>apprécié au regard des objectifs du poste, de l’organisation du service et des réorganisations potentielles destinées à faire évoluer et améliorer le service rendu.</w:t>
      </w:r>
    </w:p>
    <w:p w14:paraId="1174634D" w14:textId="77777777" w:rsidR="00A365B0" w:rsidRDefault="00A365B0">
      <w:pPr>
        <w:jc w:val="both"/>
        <w:outlineLvl w:val="1"/>
        <w:rPr>
          <w:rFonts w:ascii="Arial" w:eastAsia="Times New Roman" w:hAnsi="Arial" w:cs="Arial"/>
          <w:bCs/>
          <w:sz w:val="20"/>
          <w:szCs w:val="20"/>
          <w:lang w:eastAsia="fr-FR"/>
        </w:rPr>
      </w:pPr>
    </w:p>
    <w:p w14:paraId="39122EC1" w14:textId="77777777" w:rsidR="009409A8" w:rsidRPr="00FE5EE8" w:rsidRDefault="00653A86" w:rsidP="009409A8">
      <w:pPr>
        <w:spacing w:before="100" w:beforeAutospacing="1" w:after="100" w:afterAutospacing="1" w:line="240" w:lineRule="auto"/>
        <w:jc w:val="both"/>
        <w:outlineLvl w:val="1"/>
        <w:rPr>
          <w:rFonts w:ascii="Arial" w:eastAsia="Times New Roman" w:hAnsi="Arial" w:cs="Arial"/>
          <w:bCs/>
          <w:sz w:val="20"/>
          <w:szCs w:val="20"/>
          <w:u w:val="single"/>
          <w:lang w:eastAsia="fr-FR"/>
        </w:rPr>
      </w:pPr>
      <w:r w:rsidRPr="00FE5EE8">
        <w:rPr>
          <w:rFonts w:ascii="Arial" w:eastAsia="Times New Roman" w:hAnsi="Arial" w:cs="Arial"/>
          <w:bCs/>
          <w:sz w:val="20"/>
          <w:szCs w:val="20"/>
          <w:u w:val="single"/>
          <w:lang w:eastAsia="fr-FR"/>
        </w:rPr>
        <w:t>Les autres charges de gestion courante</w:t>
      </w:r>
      <w:r w:rsidR="006E5998" w:rsidRPr="00FE5EE8">
        <w:rPr>
          <w:rFonts w:ascii="Arial" w:eastAsia="Times New Roman" w:hAnsi="Arial" w:cs="Arial"/>
          <w:bCs/>
          <w:sz w:val="20"/>
          <w:szCs w:val="20"/>
          <w:u w:val="single"/>
          <w:lang w:eastAsia="fr-FR"/>
        </w:rPr>
        <w:t xml:space="preserve"> et les charges financières</w:t>
      </w:r>
    </w:p>
    <w:p w14:paraId="09987B48" w14:textId="77777777" w:rsidR="001F06D8" w:rsidRPr="004E51C4" w:rsidRDefault="006E5998" w:rsidP="008721C0">
      <w:pPr>
        <w:spacing w:before="100" w:beforeAutospacing="1" w:after="100" w:afterAutospacing="1"/>
        <w:jc w:val="both"/>
        <w:outlineLvl w:val="1"/>
        <w:rPr>
          <w:rFonts w:ascii="Arial" w:eastAsia="Times New Roman" w:hAnsi="Arial" w:cs="Arial"/>
          <w:bCs/>
          <w:sz w:val="20"/>
          <w:szCs w:val="20"/>
          <w:lang w:eastAsia="fr-FR"/>
        </w:rPr>
      </w:pPr>
      <w:r w:rsidRPr="004E51C4">
        <w:rPr>
          <w:rFonts w:ascii="Arial" w:eastAsia="Times New Roman" w:hAnsi="Arial" w:cs="Arial"/>
          <w:bCs/>
          <w:sz w:val="20"/>
          <w:szCs w:val="20"/>
          <w:lang w:eastAsia="fr-FR"/>
        </w:rPr>
        <w:t>Les premières</w:t>
      </w:r>
      <w:r w:rsidR="00A2623E" w:rsidRPr="004E51C4">
        <w:rPr>
          <w:rFonts w:ascii="Arial" w:eastAsia="Times New Roman" w:hAnsi="Arial" w:cs="Arial"/>
          <w:bCs/>
          <w:sz w:val="20"/>
          <w:szCs w:val="20"/>
          <w:lang w:eastAsia="fr-FR"/>
        </w:rPr>
        <w:t xml:space="preserve"> se composent des indemnités et charges des élus, de la participation </w:t>
      </w:r>
      <w:r w:rsidR="005237E0" w:rsidRPr="004E51C4">
        <w:rPr>
          <w:rFonts w:ascii="Arial" w:eastAsia="Times New Roman" w:hAnsi="Arial" w:cs="Arial"/>
          <w:bCs/>
          <w:sz w:val="20"/>
          <w:szCs w:val="20"/>
          <w:lang w:eastAsia="fr-FR"/>
        </w:rPr>
        <w:t xml:space="preserve">de la commune </w:t>
      </w:r>
      <w:r w:rsidR="00A2623E" w:rsidRPr="004E51C4">
        <w:rPr>
          <w:rFonts w:ascii="Arial" w:eastAsia="Times New Roman" w:hAnsi="Arial" w:cs="Arial"/>
          <w:bCs/>
          <w:sz w:val="20"/>
          <w:szCs w:val="20"/>
          <w:lang w:eastAsia="fr-FR"/>
        </w:rPr>
        <w:t xml:space="preserve">au budget </w:t>
      </w:r>
      <w:r w:rsidR="005237E0" w:rsidRPr="004E51C4">
        <w:rPr>
          <w:rFonts w:ascii="Arial" w:eastAsia="Times New Roman" w:hAnsi="Arial" w:cs="Arial"/>
          <w:bCs/>
          <w:sz w:val="20"/>
          <w:szCs w:val="20"/>
          <w:lang w:eastAsia="fr-FR"/>
        </w:rPr>
        <w:t xml:space="preserve">de la brigade des sapeurs-pompiers de Paris (BSPP), du fonds de compensation des charges transférées versé à </w:t>
      </w:r>
      <w:r w:rsidR="008D41DE">
        <w:rPr>
          <w:rFonts w:ascii="Arial" w:eastAsia="Times New Roman" w:hAnsi="Arial" w:cs="Arial"/>
          <w:bCs/>
          <w:sz w:val="20"/>
          <w:szCs w:val="20"/>
          <w:lang w:eastAsia="fr-FR"/>
        </w:rPr>
        <w:t>l’Etablissement Public Territorial (</w:t>
      </w:r>
      <w:r w:rsidR="008D41DE" w:rsidRPr="004E51C4">
        <w:rPr>
          <w:rFonts w:ascii="Arial" w:eastAsia="Times New Roman" w:hAnsi="Arial" w:cs="Arial"/>
          <w:bCs/>
          <w:sz w:val="20"/>
          <w:szCs w:val="20"/>
          <w:lang w:eastAsia="fr-FR"/>
        </w:rPr>
        <w:t>EPT</w:t>
      </w:r>
      <w:r w:rsidR="008D41DE">
        <w:rPr>
          <w:rFonts w:ascii="Arial" w:eastAsia="Times New Roman" w:hAnsi="Arial" w:cs="Arial"/>
          <w:bCs/>
          <w:sz w:val="20"/>
          <w:szCs w:val="20"/>
          <w:lang w:eastAsia="fr-FR"/>
        </w:rPr>
        <w:t>)</w:t>
      </w:r>
      <w:r w:rsidR="008D41DE" w:rsidRPr="004E51C4">
        <w:rPr>
          <w:rFonts w:ascii="Arial" w:eastAsia="Times New Roman" w:hAnsi="Arial" w:cs="Arial"/>
          <w:bCs/>
          <w:sz w:val="20"/>
          <w:szCs w:val="20"/>
          <w:lang w:eastAsia="fr-FR"/>
        </w:rPr>
        <w:t xml:space="preserve"> </w:t>
      </w:r>
      <w:r w:rsidR="005237E0" w:rsidRPr="004E51C4">
        <w:rPr>
          <w:rFonts w:ascii="Arial" w:eastAsia="Times New Roman" w:hAnsi="Arial" w:cs="Arial"/>
          <w:bCs/>
          <w:sz w:val="20"/>
          <w:szCs w:val="20"/>
          <w:lang w:eastAsia="fr-FR"/>
        </w:rPr>
        <w:t xml:space="preserve">Grand-Orly Seine Bièvre, des subventions versées au </w:t>
      </w:r>
      <w:r w:rsidR="008D41DE">
        <w:rPr>
          <w:rFonts w:ascii="Arial" w:eastAsia="Times New Roman" w:hAnsi="Arial" w:cs="Arial"/>
          <w:bCs/>
          <w:sz w:val="20"/>
          <w:szCs w:val="20"/>
          <w:lang w:eastAsia="fr-FR"/>
        </w:rPr>
        <w:t>C</w:t>
      </w:r>
      <w:r w:rsidR="008D41DE" w:rsidRPr="004E51C4">
        <w:rPr>
          <w:rFonts w:ascii="Arial" w:eastAsia="Times New Roman" w:hAnsi="Arial" w:cs="Arial"/>
          <w:bCs/>
          <w:sz w:val="20"/>
          <w:szCs w:val="20"/>
          <w:lang w:eastAsia="fr-FR"/>
        </w:rPr>
        <w:t xml:space="preserve">entre </w:t>
      </w:r>
      <w:r w:rsidR="008D41DE">
        <w:rPr>
          <w:rFonts w:ascii="Arial" w:eastAsia="Times New Roman" w:hAnsi="Arial" w:cs="Arial"/>
          <w:bCs/>
          <w:sz w:val="20"/>
          <w:szCs w:val="20"/>
          <w:lang w:eastAsia="fr-FR"/>
        </w:rPr>
        <w:t>C</w:t>
      </w:r>
      <w:r w:rsidR="008D41DE" w:rsidRPr="004E51C4">
        <w:rPr>
          <w:rFonts w:ascii="Arial" w:eastAsia="Times New Roman" w:hAnsi="Arial" w:cs="Arial"/>
          <w:bCs/>
          <w:sz w:val="20"/>
          <w:szCs w:val="20"/>
          <w:lang w:eastAsia="fr-FR"/>
        </w:rPr>
        <w:t>ommunal d’</w:t>
      </w:r>
      <w:r w:rsidR="008D41DE">
        <w:rPr>
          <w:rFonts w:ascii="Arial" w:eastAsia="Times New Roman" w:hAnsi="Arial" w:cs="Arial"/>
          <w:bCs/>
          <w:sz w:val="20"/>
          <w:szCs w:val="20"/>
          <w:lang w:eastAsia="fr-FR"/>
        </w:rPr>
        <w:t>A</w:t>
      </w:r>
      <w:r w:rsidR="008D41DE" w:rsidRPr="004E51C4">
        <w:rPr>
          <w:rFonts w:ascii="Arial" w:eastAsia="Times New Roman" w:hAnsi="Arial" w:cs="Arial"/>
          <w:bCs/>
          <w:sz w:val="20"/>
          <w:szCs w:val="20"/>
          <w:lang w:eastAsia="fr-FR"/>
        </w:rPr>
        <w:t xml:space="preserve">ction </w:t>
      </w:r>
      <w:r w:rsidR="008D41DE">
        <w:rPr>
          <w:rFonts w:ascii="Arial" w:eastAsia="Times New Roman" w:hAnsi="Arial" w:cs="Arial"/>
          <w:bCs/>
          <w:sz w:val="20"/>
          <w:szCs w:val="20"/>
          <w:lang w:eastAsia="fr-FR"/>
        </w:rPr>
        <w:t>S</w:t>
      </w:r>
      <w:r w:rsidR="008D41DE" w:rsidRPr="004E51C4">
        <w:rPr>
          <w:rFonts w:ascii="Arial" w:eastAsia="Times New Roman" w:hAnsi="Arial" w:cs="Arial"/>
          <w:bCs/>
          <w:sz w:val="20"/>
          <w:szCs w:val="20"/>
          <w:lang w:eastAsia="fr-FR"/>
        </w:rPr>
        <w:t xml:space="preserve">ociale </w:t>
      </w:r>
      <w:r w:rsidR="005237E0" w:rsidRPr="004E51C4">
        <w:rPr>
          <w:rFonts w:ascii="Arial" w:eastAsia="Times New Roman" w:hAnsi="Arial" w:cs="Arial"/>
          <w:bCs/>
          <w:sz w:val="20"/>
          <w:szCs w:val="20"/>
          <w:lang w:eastAsia="fr-FR"/>
        </w:rPr>
        <w:t>(CCAS) et aux associations ainsi que d’autres contributions.</w:t>
      </w:r>
      <w:r w:rsidR="004E51C4" w:rsidRPr="004E51C4">
        <w:rPr>
          <w:rFonts w:ascii="Arial" w:eastAsia="Times New Roman" w:hAnsi="Arial" w:cs="Arial"/>
          <w:bCs/>
          <w:sz w:val="20"/>
          <w:szCs w:val="20"/>
          <w:lang w:eastAsia="fr-FR"/>
        </w:rPr>
        <w:t xml:space="preserve"> Si une hausse de 4 % est prévue en 2022 en raison d</w:t>
      </w:r>
      <w:r w:rsidR="001206F4">
        <w:rPr>
          <w:rFonts w:ascii="Arial" w:eastAsia="Times New Roman" w:hAnsi="Arial" w:cs="Arial"/>
          <w:bCs/>
          <w:sz w:val="20"/>
          <w:szCs w:val="20"/>
          <w:lang w:eastAsia="fr-FR"/>
        </w:rPr>
        <w:t>u</w:t>
      </w:r>
      <w:r w:rsidR="004E51C4" w:rsidRPr="004E51C4">
        <w:rPr>
          <w:rFonts w:ascii="Arial" w:eastAsia="Times New Roman" w:hAnsi="Arial" w:cs="Arial"/>
          <w:bCs/>
          <w:sz w:val="20"/>
          <w:szCs w:val="20"/>
          <w:lang w:eastAsia="fr-FR"/>
        </w:rPr>
        <w:t xml:space="preserve"> reclassement comptable</w:t>
      </w:r>
      <w:r w:rsidR="001206F4">
        <w:rPr>
          <w:rFonts w:ascii="Arial" w:eastAsia="Times New Roman" w:hAnsi="Arial" w:cs="Arial"/>
          <w:bCs/>
          <w:sz w:val="20"/>
          <w:szCs w:val="20"/>
          <w:lang w:eastAsia="fr-FR"/>
        </w:rPr>
        <w:t xml:space="preserve"> des </w:t>
      </w:r>
      <w:r w:rsidR="00582805" w:rsidRPr="00822DEF">
        <w:rPr>
          <w:rFonts w:ascii="Arial" w:eastAsia="Times New Roman" w:hAnsi="Arial" w:cs="Arial"/>
          <w:bCs/>
          <w:sz w:val="20"/>
          <w:szCs w:val="20"/>
          <w:lang w:eastAsia="fr-FR"/>
        </w:rPr>
        <w:t>abonnements à différentes applications informatiques</w:t>
      </w:r>
      <w:r w:rsidR="00F85D94" w:rsidRPr="00F85D94">
        <w:rPr>
          <w:rFonts w:ascii="Arial" w:eastAsia="Times New Roman" w:hAnsi="Arial" w:cs="Arial"/>
          <w:bCs/>
          <w:sz w:val="20"/>
          <w:szCs w:val="20"/>
          <w:lang w:eastAsia="fr-FR"/>
        </w:rPr>
        <w:t xml:space="preserve"> (hébergement en nuage)</w:t>
      </w:r>
      <w:r w:rsidR="004E51C4" w:rsidRPr="00822DEF">
        <w:rPr>
          <w:rFonts w:ascii="Arial" w:eastAsia="Times New Roman" w:hAnsi="Arial" w:cs="Arial"/>
          <w:bCs/>
          <w:sz w:val="20"/>
          <w:szCs w:val="20"/>
          <w:lang w:eastAsia="fr-FR"/>
        </w:rPr>
        <w:t xml:space="preserve">, </w:t>
      </w:r>
      <w:r w:rsidR="004E51C4" w:rsidRPr="004E51C4">
        <w:rPr>
          <w:rFonts w:ascii="Arial" w:eastAsia="Times New Roman" w:hAnsi="Arial" w:cs="Arial"/>
          <w:bCs/>
          <w:sz w:val="20"/>
          <w:szCs w:val="20"/>
          <w:lang w:eastAsia="fr-FR"/>
        </w:rPr>
        <w:t>u</w:t>
      </w:r>
      <w:r w:rsidRPr="004E51C4">
        <w:rPr>
          <w:rFonts w:ascii="Arial" w:eastAsia="Times New Roman" w:hAnsi="Arial" w:cs="Arial"/>
          <w:bCs/>
          <w:sz w:val="20"/>
          <w:szCs w:val="20"/>
          <w:lang w:eastAsia="fr-FR"/>
        </w:rPr>
        <w:t xml:space="preserve">ne </w:t>
      </w:r>
      <w:r w:rsidR="004E51C4" w:rsidRPr="004E51C4">
        <w:rPr>
          <w:rFonts w:ascii="Arial" w:eastAsia="Times New Roman" w:hAnsi="Arial" w:cs="Arial"/>
          <w:bCs/>
          <w:sz w:val="20"/>
          <w:szCs w:val="20"/>
          <w:lang w:eastAsia="fr-FR"/>
        </w:rPr>
        <w:t>stagnation</w:t>
      </w:r>
      <w:r w:rsidRPr="004E51C4">
        <w:rPr>
          <w:rFonts w:ascii="Arial" w:eastAsia="Times New Roman" w:hAnsi="Arial" w:cs="Arial"/>
          <w:bCs/>
          <w:sz w:val="20"/>
          <w:szCs w:val="20"/>
          <w:lang w:eastAsia="fr-FR"/>
        </w:rPr>
        <w:t xml:space="preserve"> est projetée</w:t>
      </w:r>
      <w:r w:rsidR="004E51C4" w:rsidRPr="004E51C4">
        <w:rPr>
          <w:rFonts w:ascii="Arial" w:eastAsia="Times New Roman" w:hAnsi="Arial" w:cs="Arial"/>
          <w:bCs/>
          <w:sz w:val="20"/>
          <w:szCs w:val="20"/>
          <w:lang w:eastAsia="fr-FR"/>
        </w:rPr>
        <w:t xml:space="preserve"> pour les années 2023 et 2024.</w:t>
      </w:r>
    </w:p>
    <w:p w14:paraId="39BE327A" w14:textId="77777777" w:rsidR="006E5998" w:rsidRDefault="006E5998" w:rsidP="008721C0">
      <w:pPr>
        <w:spacing w:before="100" w:beforeAutospacing="1" w:after="100" w:afterAutospacing="1"/>
        <w:jc w:val="both"/>
        <w:outlineLvl w:val="1"/>
        <w:rPr>
          <w:rFonts w:ascii="Arial" w:eastAsia="Times New Roman" w:hAnsi="Arial" w:cs="Arial"/>
          <w:bCs/>
          <w:sz w:val="20"/>
          <w:szCs w:val="20"/>
          <w:lang w:eastAsia="fr-FR"/>
        </w:rPr>
      </w:pPr>
      <w:r w:rsidRPr="008C7A64">
        <w:rPr>
          <w:rFonts w:ascii="Arial" w:eastAsia="Times New Roman" w:hAnsi="Arial" w:cs="Arial"/>
          <w:bCs/>
          <w:sz w:val="20"/>
          <w:szCs w:val="20"/>
          <w:lang w:eastAsia="fr-FR"/>
        </w:rPr>
        <w:t xml:space="preserve">Quant aux charges financières, une évolution à la baisse est anticipée compte-tenu du profil d’extinction du stock de dette et des taux fixes </w:t>
      </w:r>
      <w:r w:rsidR="008C7A64">
        <w:rPr>
          <w:rFonts w:ascii="Arial" w:eastAsia="Times New Roman" w:hAnsi="Arial" w:cs="Arial"/>
          <w:bCs/>
          <w:sz w:val="20"/>
          <w:szCs w:val="20"/>
          <w:lang w:eastAsia="fr-FR"/>
        </w:rPr>
        <w:t>contractés.</w:t>
      </w:r>
    </w:p>
    <w:p w14:paraId="50A34A6F" w14:textId="77777777" w:rsidR="00BE4553" w:rsidRDefault="00BE4553" w:rsidP="008721C0">
      <w:pPr>
        <w:spacing w:before="100" w:beforeAutospacing="1" w:after="100" w:afterAutospacing="1"/>
        <w:jc w:val="both"/>
        <w:outlineLvl w:val="1"/>
        <w:rPr>
          <w:rFonts w:ascii="Arial" w:eastAsia="Times New Roman" w:hAnsi="Arial" w:cs="Arial"/>
          <w:bCs/>
          <w:sz w:val="20"/>
          <w:szCs w:val="20"/>
          <w:lang w:eastAsia="fr-FR"/>
        </w:rPr>
      </w:pPr>
      <w:r>
        <w:rPr>
          <w:rFonts w:ascii="Arial" w:eastAsia="Times New Roman" w:hAnsi="Arial" w:cs="Arial"/>
          <w:bCs/>
          <w:sz w:val="20"/>
          <w:szCs w:val="20"/>
          <w:lang w:eastAsia="fr-FR"/>
        </w:rPr>
        <w:t xml:space="preserve">A souligner par ailleurs, la mise en réflexion, entre l’Etablissement Public Territorial </w:t>
      </w:r>
      <w:r w:rsidR="0031743F">
        <w:rPr>
          <w:rFonts w:ascii="Arial" w:eastAsia="Times New Roman" w:hAnsi="Arial" w:cs="Arial"/>
          <w:bCs/>
          <w:sz w:val="20"/>
          <w:szCs w:val="20"/>
          <w:lang w:eastAsia="fr-FR"/>
        </w:rPr>
        <w:t xml:space="preserve">(EPT) </w:t>
      </w:r>
      <w:r>
        <w:rPr>
          <w:rFonts w:ascii="Arial" w:eastAsia="Times New Roman" w:hAnsi="Arial" w:cs="Arial"/>
          <w:bCs/>
          <w:sz w:val="20"/>
          <w:szCs w:val="20"/>
          <w:lang w:eastAsia="fr-FR"/>
        </w:rPr>
        <w:t>Grand-Orly-Seine-Bièvre</w:t>
      </w:r>
      <w:r w:rsidR="0031743F">
        <w:rPr>
          <w:rFonts w:ascii="Arial" w:eastAsia="Times New Roman" w:hAnsi="Arial" w:cs="Arial"/>
          <w:bCs/>
          <w:sz w:val="20"/>
          <w:szCs w:val="20"/>
          <w:lang w:eastAsia="fr-FR"/>
        </w:rPr>
        <w:t xml:space="preserve"> (GOSB)</w:t>
      </w:r>
      <w:r>
        <w:rPr>
          <w:rFonts w:ascii="Arial" w:eastAsia="Times New Roman" w:hAnsi="Arial" w:cs="Arial"/>
          <w:bCs/>
          <w:sz w:val="20"/>
          <w:szCs w:val="20"/>
          <w:lang w:eastAsia="fr-FR"/>
        </w:rPr>
        <w:t xml:space="preserve"> et les 24 villes constitutives, d’une </w:t>
      </w:r>
      <w:proofErr w:type="gramStart"/>
      <w:r>
        <w:rPr>
          <w:rFonts w:ascii="Arial" w:eastAsia="Times New Roman" w:hAnsi="Arial" w:cs="Arial"/>
          <w:bCs/>
          <w:sz w:val="20"/>
          <w:szCs w:val="20"/>
          <w:lang w:eastAsia="fr-FR"/>
        </w:rPr>
        <w:t>méthodologie  d’élaboration</w:t>
      </w:r>
      <w:proofErr w:type="gramEnd"/>
      <w:r>
        <w:rPr>
          <w:rFonts w:ascii="Arial" w:eastAsia="Times New Roman" w:hAnsi="Arial" w:cs="Arial"/>
          <w:bCs/>
          <w:sz w:val="20"/>
          <w:szCs w:val="20"/>
          <w:lang w:eastAsia="fr-FR"/>
        </w:rPr>
        <w:t xml:space="preserve"> et de co-construction d’un Pacte Fiscal, Financier et Social</w:t>
      </w:r>
      <w:r w:rsidR="0031743F">
        <w:rPr>
          <w:rFonts w:ascii="Arial" w:eastAsia="Times New Roman" w:hAnsi="Arial" w:cs="Arial"/>
          <w:bCs/>
          <w:sz w:val="20"/>
          <w:szCs w:val="20"/>
          <w:lang w:eastAsia="fr-FR"/>
        </w:rPr>
        <w:t>. Pour mémoire, le GOSB est le 1</w:t>
      </w:r>
      <w:r w:rsidR="00F85D94" w:rsidRPr="00F85D94">
        <w:rPr>
          <w:rFonts w:ascii="Arial" w:eastAsia="Times New Roman" w:hAnsi="Arial" w:cs="Arial"/>
          <w:bCs/>
          <w:sz w:val="20"/>
          <w:szCs w:val="20"/>
          <w:vertAlign w:val="superscript"/>
          <w:lang w:eastAsia="fr-FR"/>
        </w:rPr>
        <w:t>er</w:t>
      </w:r>
      <w:r w:rsidR="0031743F">
        <w:rPr>
          <w:rFonts w:ascii="Arial" w:eastAsia="Times New Roman" w:hAnsi="Arial" w:cs="Arial"/>
          <w:bCs/>
          <w:sz w:val="20"/>
          <w:szCs w:val="20"/>
          <w:lang w:eastAsia="fr-FR"/>
        </w:rPr>
        <w:t xml:space="preserve"> EPT en population et en nombre de villes membres. Il est la résultante de l’agrégation de 4 ex-EPCI à fiscalité propre, aux histoires et modes de fonctionnement différents, ainsi que par l’arrivée de 8 villes dites « isolées » car non membres précédemment d’un EPCI, en </w:t>
      </w:r>
      <w:r w:rsidR="00FD0F6F">
        <w:rPr>
          <w:rFonts w:ascii="Arial" w:eastAsia="Times New Roman" w:hAnsi="Arial" w:cs="Arial"/>
          <w:bCs/>
          <w:sz w:val="20"/>
          <w:szCs w:val="20"/>
          <w:lang w:eastAsia="fr-FR"/>
        </w:rPr>
        <w:t>2015. Si la période 2016-2020 a</w:t>
      </w:r>
      <w:r w:rsidR="0031743F">
        <w:rPr>
          <w:rFonts w:ascii="Arial" w:eastAsia="Times New Roman" w:hAnsi="Arial" w:cs="Arial"/>
          <w:bCs/>
          <w:sz w:val="20"/>
          <w:szCs w:val="20"/>
          <w:lang w:eastAsia="fr-FR"/>
        </w:rPr>
        <w:t xml:space="preserve"> été marquée par le principe de coopérative de villes</w:t>
      </w:r>
      <w:r w:rsidR="00043A11">
        <w:rPr>
          <w:rFonts w:ascii="Arial" w:eastAsia="Times New Roman" w:hAnsi="Arial" w:cs="Arial"/>
          <w:bCs/>
          <w:sz w:val="20"/>
          <w:szCs w:val="20"/>
          <w:lang w:eastAsia="fr-FR"/>
        </w:rPr>
        <w:t xml:space="preserve">, il </w:t>
      </w:r>
      <w:r w:rsidR="00A52AF3">
        <w:rPr>
          <w:rFonts w:ascii="Arial" w:eastAsia="Times New Roman" w:hAnsi="Arial" w:cs="Arial"/>
          <w:bCs/>
          <w:sz w:val="20"/>
          <w:szCs w:val="20"/>
          <w:lang w:eastAsia="fr-FR"/>
        </w:rPr>
        <w:t>est désormais nécessaire de poser un diagnostic sur la situation financière en découlant et en rappelant les évolutions des recettes et des dépenses. Une fois ce diagnostic établi, il conviendra de dessiner une trajectoire</w:t>
      </w:r>
      <w:r w:rsidR="00FD0F6F">
        <w:rPr>
          <w:rFonts w:ascii="Arial" w:eastAsia="Times New Roman" w:hAnsi="Arial" w:cs="Arial"/>
          <w:bCs/>
          <w:sz w:val="20"/>
          <w:szCs w:val="20"/>
          <w:lang w:eastAsia="fr-FR"/>
        </w:rPr>
        <w:t xml:space="preserve"> </w:t>
      </w:r>
      <w:r w:rsidR="00A52AF3">
        <w:rPr>
          <w:rFonts w:ascii="Arial" w:eastAsia="Times New Roman" w:hAnsi="Arial" w:cs="Arial"/>
          <w:bCs/>
          <w:sz w:val="20"/>
          <w:szCs w:val="20"/>
          <w:lang w:eastAsia="fr-FR"/>
        </w:rPr>
        <w:t>2021-2026 en l’état actuel de l’architecture financière.</w:t>
      </w:r>
    </w:p>
    <w:p w14:paraId="236B758B" w14:textId="77777777" w:rsidR="00643DD5" w:rsidRDefault="00643DD5" w:rsidP="008721C0">
      <w:pPr>
        <w:spacing w:before="100" w:beforeAutospacing="1" w:after="100" w:afterAutospacing="1"/>
        <w:jc w:val="both"/>
        <w:outlineLvl w:val="1"/>
        <w:rPr>
          <w:rFonts w:ascii="Arial" w:eastAsia="Times New Roman" w:hAnsi="Arial" w:cs="Arial"/>
          <w:bCs/>
          <w:sz w:val="20"/>
          <w:szCs w:val="20"/>
          <w:lang w:eastAsia="fr-FR"/>
        </w:rPr>
      </w:pPr>
      <w:r>
        <w:rPr>
          <w:rFonts w:ascii="Arial" w:eastAsia="Times New Roman" w:hAnsi="Arial" w:cs="Arial"/>
          <w:bCs/>
          <w:sz w:val="20"/>
          <w:szCs w:val="20"/>
          <w:lang w:eastAsia="fr-FR"/>
        </w:rPr>
        <w:t>C’est dans ce contexte que la ville s’</w:t>
      </w:r>
      <w:r w:rsidR="00456D76">
        <w:rPr>
          <w:rFonts w:ascii="Arial" w:eastAsia="Times New Roman" w:hAnsi="Arial" w:cs="Arial"/>
          <w:bCs/>
          <w:sz w:val="20"/>
          <w:szCs w:val="20"/>
          <w:lang w:eastAsia="fr-FR"/>
        </w:rPr>
        <w:t>est et s’</w:t>
      </w:r>
      <w:r>
        <w:rPr>
          <w:rFonts w:ascii="Arial" w:eastAsia="Times New Roman" w:hAnsi="Arial" w:cs="Arial"/>
          <w:bCs/>
          <w:sz w:val="20"/>
          <w:szCs w:val="20"/>
          <w:lang w:eastAsia="fr-FR"/>
        </w:rPr>
        <w:t>interroge sur un risque renouvelé de confiscation de la progression de la Co</w:t>
      </w:r>
      <w:r w:rsidR="00456D76">
        <w:rPr>
          <w:rFonts w:ascii="Arial" w:eastAsia="Times New Roman" w:hAnsi="Arial" w:cs="Arial"/>
          <w:bCs/>
          <w:sz w:val="20"/>
          <w:szCs w:val="20"/>
          <w:lang w:eastAsia="fr-FR"/>
        </w:rPr>
        <w:t>tisation</w:t>
      </w:r>
      <w:r>
        <w:rPr>
          <w:rFonts w:ascii="Arial" w:eastAsia="Times New Roman" w:hAnsi="Arial" w:cs="Arial"/>
          <w:bCs/>
          <w:sz w:val="20"/>
          <w:szCs w:val="20"/>
          <w:lang w:eastAsia="fr-FR"/>
        </w:rPr>
        <w:t xml:space="preserve"> Foncière des Entreprises (CFE) aux EPT</w:t>
      </w:r>
      <w:r w:rsidR="00782C42">
        <w:rPr>
          <w:rFonts w:ascii="Arial" w:eastAsia="Times New Roman" w:hAnsi="Arial" w:cs="Arial"/>
          <w:bCs/>
          <w:sz w:val="20"/>
          <w:szCs w:val="20"/>
          <w:lang w:eastAsia="fr-FR"/>
        </w:rPr>
        <w:t xml:space="preserve">, </w:t>
      </w:r>
    </w:p>
    <w:p w14:paraId="6C891A94" w14:textId="77777777" w:rsidR="00216F65" w:rsidRPr="00580C8B" w:rsidRDefault="00782C42" w:rsidP="00580C8B">
      <w:pPr>
        <w:spacing w:before="100" w:beforeAutospacing="1" w:after="100" w:afterAutospacing="1"/>
        <w:jc w:val="both"/>
        <w:outlineLvl w:val="1"/>
        <w:rPr>
          <w:rFonts w:ascii="Arial" w:eastAsia="Times New Roman" w:hAnsi="Arial" w:cs="Arial"/>
          <w:bCs/>
          <w:sz w:val="20"/>
          <w:szCs w:val="20"/>
          <w:lang w:eastAsia="fr-FR"/>
        </w:rPr>
      </w:pPr>
      <w:r w:rsidRPr="00580C8B">
        <w:rPr>
          <w:rFonts w:ascii="Arial" w:eastAsia="Times New Roman" w:hAnsi="Arial" w:cs="Arial"/>
          <w:bCs/>
          <w:sz w:val="20"/>
          <w:szCs w:val="20"/>
          <w:lang w:eastAsia="fr-FR"/>
        </w:rPr>
        <w:t>En effet, p</w:t>
      </w:r>
      <w:r w:rsidR="00F85D94" w:rsidRPr="00580C8B">
        <w:rPr>
          <w:rFonts w:ascii="Arial" w:eastAsia="Times New Roman" w:hAnsi="Arial" w:cs="Arial"/>
          <w:bCs/>
          <w:sz w:val="20"/>
          <w:szCs w:val="20"/>
          <w:lang w:eastAsia="fr-FR"/>
        </w:rPr>
        <w:t>ar un sous-amendement au Projet de Loi de Finances 2022, le Gouvernement a décidé de</w:t>
      </w:r>
      <w:r w:rsidR="00580C8B" w:rsidRPr="00580C8B">
        <w:rPr>
          <w:rFonts w:ascii="Arial" w:eastAsia="Times New Roman" w:hAnsi="Arial" w:cs="Arial"/>
          <w:bCs/>
          <w:sz w:val="20"/>
          <w:szCs w:val="20"/>
          <w:lang w:eastAsia="fr-FR"/>
        </w:rPr>
        <w:t xml:space="preserve"> </w:t>
      </w:r>
      <w:r w:rsidR="00F85D94" w:rsidRPr="00580C8B">
        <w:rPr>
          <w:rFonts w:ascii="Arial" w:eastAsia="Times New Roman" w:hAnsi="Arial" w:cs="Arial"/>
          <w:bCs/>
          <w:sz w:val="20"/>
          <w:szCs w:val="20"/>
          <w:lang w:eastAsia="fr-FR"/>
        </w:rPr>
        <w:t xml:space="preserve">priver les EPT de la progression de </w:t>
      </w:r>
      <w:proofErr w:type="gramStart"/>
      <w:r w:rsidR="00F85D94" w:rsidRPr="00580C8B">
        <w:rPr>
          <w:rFonts w:ascii="Arial" w:eastAsia="Times New Roman" w:hAnsi="Arial" w:cs="Arial"/>
          <w:bCs/>
          <w:sz w:val="20"/>
          <w:szCs w:val="20"/>
          <w:lang w:eastAsia="fr-FR"/>
        </w:rPr>
        <w:t>CFE  alors</w:t>
      </w:r>
      <w:proofErr w:type="gramEnd"/>
      <w:r w:rsidR="00F85D94" w:rsidRPr="00580C8B">
        <w:rPr>
          <w:rFonts w:ascii="Arial" w:eastAsia="Times New Roman" w:hAnsi="Arial" w:cs="Arial"/>
          <w:bCs/>
          <w:sz w:val="20"/>
          <w:szCs w:val="20"/>
          <w:lang w:eastAsia="fr-FR"/>
        </w:rPr>
        <w:t xml:space="preserve"> que la CFE constitue la seule ressource fiscale de l’EPT.</w:t>
      </w:r>
    </w:p>
    <w:p w14:paraId="62CD8BBC" w14:textId="77777777" w:rsidR="00216F65" w:rsidRPr="00580C8B" w:rsidRDefault="00F85D94" w:rsidP="00580C8B">
      <w:pPr>
        <w:spacing w:before="100" w:beforeAutospacing="1" w:after="100" w:afterAutospacing="1"/>
        <w:jc w:val="both"/>
        <w:outlineLvl w:val="1"/>
        <w:rPr>
          <w:rFonts w:ascii="Arial" w:eastAsia="Times New Roman" w:hAnsi="Arial" w:cs="Arial"/>
          <w:bCs/>
          <w:sz w:val="20"/>
          <w:szCs w:val="20"/>
          <w:lang w:eastAsia="fr-FR"/>
        </w:rPr>
      </w:pPr>
      <w:r w:rsidRPr="00580C8B">
        <w:rPr>
          <w:rFonts w:ascii="Arial" w:eastAsia="Times New Roman" w:hAnsi="Arial" w:cs="Arial"/>
          <w:bCs/>
          <w:sz w:val="20"/>
          <w:szCs w:val="20"/>
          <w:lang w:eastAsia="fr-FR"/>
        </w:rPr>
        <w:t>Institué en 2021, ce prélèvement devait compenser plus de 80% de la baisse nettement moins importante qu’attendue de la CVAE pour la MGP. Ce prélèvement rapportait 17 M€ environ à la MGP, contre une perte de CVAE de 20,5 M€.</w:t>
      </w:r>
    </w:p>
    <w:p w14:paraId="0276A1C3" w14:textId="77777777" w:rsidR="00216F65" w:rsidRPr="00580C8B" w:rsidRDefault="00F85D94" w:rsidP="00580C8B">
      <w:pPr>
        <w:spacing w:before="100" w:beforeAutospacing="1" w:after="100" w:afterAutospacing="1"/>
        <w:jc w:val="both"/>
        <w:outlineLvl w:val="1"/>
        <w:rPr>
          <w:rFonts w:ascii="Arial" w:eastAsia="Times New Roman" w:hAnsi="Arial" w:cs="Arial"/>
          <w:bCs/>
          <w:sz w:val="20"/>
          <w:szCs w:val="20"/>
          <w:lang w:eastAsia="fr-FR"/>
        </w:rPr>
      </w:pPr>
      <w:r w:rsidRPr="00580C8B">
        <w:rPr>
          <w:rFonts w:ascii="Arial" w:eastAsia="Times New Roman" w:hAnsi="Arial" w:cs="Arial"/>
          <w:bCs/>
          <w:sz w:val="20"/>
          <w:szCs w:val="20"/>
          <w:lang w:eastAsia="fr-FR"/>
        </w:rPr>
        <w:t>Alors que les comptes de la MGP font apparaître une accumulation importante d’épargne et un fonds de roulement qui atteint 173 M€ à fin 2020 - et qui devrait continuer de s’accroître en 2021 pour atteindre près de 190 M € -</w:t>
      </w:r>
      <w:proofErr w:type="gramStart"/>
      <w:r w:rsidRPr="00580C8B">
        <w:rPr>
          <w:rFonts w:ascii="Arial" w:eastAsia="Times New Roman" w:hAnsi="Arial" w:cs="Arial"/>
          <w:bCs/>
          <w:sz w:val="20"/>
          <w:szCs w:val="20"/>
          <w:lang w:eastAsia="fr-FR"/>
        </w:rPr>
        <w:t>,  en</w:t>
      </w:r>
      <w:proofErr w:type="gramEnd"/>
      <w:r w:rsidRPr="00580C8B">
        <w:rPr>
          <w:rFonts w:ascii="Arial" w:eastAsia="Times New Roman" w:hAnsi="Arial" w:cs="Arial"/>
          <w:bCs/>
          <w:sz w:val="20"/>
          <w:szCs w:val="20"/>
          <w:lang w:eastAsia="fr-FR"/>
        </w:rPr>
        <w:t xml:space="preserve"> réintroduisant le mécanisme de prélèvement de 2/3 de la croissance de la CFE au profit de la MGP en 2022, c’est l’équilibre budgétaire de l’EPT et des villes qui est fragilisé. </w:t>
      </w:r>
    </w:p>
    <w:p w14:paraId="1C286FFD" w14:textId="77777777" w:rsidR="00216F65" w:rsidRPr="00580C8B" w:rsidRDefault="00F85D94" w:rsidP="00580C8B">
      <w:pPr>
        <w:spacing w:before="100" w:beforeAutospacing="1" w:after="100" w:afterAutospacing="1"/>
        <w:jc w:val="both"/>
        <w:outlineLvl w:val="1"/>
        <w:rPr>
          <w:rFonts w:ascii="Arial" w:eastAsia="Times New Roman" w:hAnsi="Arial" w:cs="Arial"/>
          <w:bCs/>
          <w:sz w:val="20"/>
          <w:szCs w:val="20"/>
          <w:lang w:eastAsia="fr-FR"/>
        </w:rPr>
      </w:pPr>
      <w:r w:rsidRPr="00580C8B">
        <w:rPr>
          <w:rFonts w:ascii="Arial" w:eastAsia="Times New Roman" w:hAnsi="Arial" w:cs="Arial"/>
          <w:bCs/>
          <w:sz w:val="20"/>
          <w:szCs w:val="20"/>
          <w:lang w:eastAsia="fr-FR"/>
        </w:rPr>
        <w:lastRenderedPageBreak/>
        <w:t xml:space="preserve">Et pourtant, ce sont les EPT qui exercent les politiques publiques de proximité (celles-ci représentent 97 % du financement des services à la population) et qui réalisent les investissements structurants, ceci malgré la baisse de l’autofinancement et en dépit des difficultés liées à la crise dont on sait qu’elles vont s’accentuer dans les années à venir. </w:t>
      </w:r>
    </w:p>
    <w:p w14:paraId="565CEE97" w14:textId="77777777" w:rsidR="00216F65" w:rsidRPr="00580C8B" w:rsidRDefault="00F85D94" w:rsidP="00580C8B">
      <w:pPr>
        <w:spacing w:before="100" w:beforeAutospacing="1" w:after="100" w:afterAutospacing="1"/>
        <w:jc w:val="both"/>
        <w:outlineLvl w:val="1"/>
        <w:rPr>
          <w:rFonts w:ascii="Arial" w:eastAsia="Times New Roman" w:hAnsi="Arial" w:cs="Arial"/>
          <w:bCs/>
          <w:sz w:val="20"/>
          <w:szCs w:val="20"/>
          <w:lang w:eastAsia="fr-FR"/>
        </w:rPr>
      </w:pPr>
      <w:r w:rsidRPr="00580C8B">
        <w:rPr>
          <w:rFonts w:ascii="Arial" w:eastAsia="Times New Roman" w:hAnsi="Arial" w:cs="Arial"/>
          <w:bCs/>
          <w:sz w:val="20"/>
          <w:szCs w:val="20"/>
          <w:lang w:eastAsia="fr-FR"/>
        </w:rPr>
        <w:t xml:space="preserve">A contrario, l’effort d’investissement de la MGP reste très modéré au regard de sa situation budgétaire. Le niveau important de son fonds de roulement devrait lui permettre d’absorber aisément une baisse de la CVAE, tant en raison de sa situation financière qui laisse à penser que le fonds de roulement accumulé ne sera pas consommé fin 2021, que des compétences exercées qui se cantonnent à un reversement de l’attribution de compensations aux communes. </w:t>
      </w:r>
    </w:p>
    <w:p w14:paraId="4639F1BE" w14:textId="77777777" w:rsidR="00216F65" w:rsidRPr="00216F65" w:rsidRDefault="00F85D94" w:rsidP="00580C8B">
      <w:pPr>
        <w:pStyle w:val="Sansinterligne"/>
        <w:spacing w:before="100" w:beforeAutospacing="1" w:after="100" w:afterAutospacing="1" w:line="276" w:lineRule="auto"/>
        <w:jc w:val="both"/>
        <w:rPr>
          <w:rFonts w:ascii="Arial" w:hAnsi="Arial" w:cs="Arial"/>
          <w:sz w:val="20"/>
          <w:szCs w:val="20"/>
        </w:rPr>
      </w:pPr>
      <w:r w:rsidRPr="00F85D94">
        <w:rPr>
          <w:rFonts w:ascii="Arial" w:hAnsi="Arial" w:cs="Arial"/>
          <w:sz w:val="20"/>
          <w:szCs w:val="20"/>
        </w:rPr>
        <w:t>Cette institution stratège, de planification, est en réalité dotée d’un budget de redistribution qui dispose d’une accumulation importante de recettes inemployées. Très faiblement endettée puisque pour la 1ere fois, elle le sera en 2021 à hauteur de 21 M€ avec une capacité de désendettement évaluée à 0,9 an, la MGP a bénéficié depuis 2015 d’une augmentation de CVAE de 155 M€, soit +14%, une CVAE qui atteindrait selon les estimations 550 M€ en 2032.</w:t>
      </w:r>
    </w:p>
    <w:p w14:paraId="37FBEC87" w14:textId="77777777" w:rsidR="00216F65" w:rsidRPr="00216F65" w:rsidRDefault="00F85D94" w:rsidP="00580C8B">
      <w:pPr>
        <w:pStyle w:val="Sansinterligne"/>
        <w:spacing w:before="100" w:beforeAutospacing="1" w:after="100" w:afterAutospacing="1" w:line="276" w:lineRule="auto"/>
        <w:jc w:val="both"/>
        <w:rPr>
          <w:rFonts w:ascii="Arial" w:hAnsi="Arial" w:cs="Arial"/>
          <w:sz w:val="20"/>
          <w:szCs w:val="20"/>
        </w:rPr>
      </w:pPr>
      <w:r w:rsidRPr="00F85D94">
        <w:rPr>
          <w:rFonts w:ascii="Arial" w:hAnsi="Arial" w:cs="Arial"/>
          <w:sz w:val="20"/>
          <w:szCs w:val="20"/>
        </w:rPr>
        <w:t>Le PLF 2022 ainsi amendé remet en cause la capacité d’investissement des EPT et des communes qui devront renoncer à certains de leurs projets pour venir alimenter le budget de la MGP.</w:t>
      </w:r>
    </w:p>
    <w:p w14:paraId="56ADBD1A" w14:textId="77777777" w:rsidR="00456D76" w:rsidRPr="008C7A64" w:rsidRDefault="00456D76" w:rsidP="008721C0">
      <w:pPr>
        <w:spacing w:before="100" w:beforeAutospacing="1" w:after="100" w:afterAutospacing="1"/>
        <w:jc w:val="both"/>
        <w:outlineLvl w:val="1"/>
        <w:rPr>
          <w:rFonts w:ascii="Arial" w:eastAsia="Times New Roman" w:hAnsi="Arial" w:cs="Arial"/>
          <w:bCs/>
          <w:sz w:val="20"/>
          <w:szCs w:val="20"/>
          <w:lang w:eastAsia="fr-FR"/>
        </w:rPr>
      </w:pPr>
    </w:p>
    <w:p w14:paraId="4185352F" w14:textId="4B3E60CC" w:rsidR="009A06B5" w:rsidRDefault="00514BE3" w:rsidP="00514BE3">
      <w:pPr>
        <w:rPr>
          <w:rFonts w:ascii="Arial" w:eastAsia="Times New Roman" w:hAnsi="Arial" w:cs="Arial"/>
          <w:b/>
          <w:bCs/>
          <w:sz w:val="20"/>
          <w:szCs w:val="20"/>
          <w:lang w:eastAsia="fr-FR"/>
        </w:rPr>
      </w:pPr>
      <w:r>
        <w:rPr>
          <w:rFonts w:ascii="Arial" w:eastAsia="Times New Roman" w:hAnsi="Arial" w:cs="Arial"/>
          <w:bCs/>
          <w:sz w:val="20"/>
          <w:szCs w:val="20"/>
          <w:lang w:eastAsia="fr-FR"/>
        </w:rPr>
        <w:br w:type="page"/>
      </w:r>
      <w:r w:rsidR="00572E5E" w:rsidRPr="00FE5EE8">
        <w:rPr>
          <w:rFonts w:ascii="Arial" w:eastAsia="Times New Roman" w:hAnsi="Arial" w:cs="Arial"/>
          <w:b/>
          <w:bCs/>
          <w:sz w:val="20"/>
          <w:szCs w:val="20"/>
          <w:lang w:eastAsia="fr-FR"/>
        </w:rPr>
        <w:lastRenderedPageBreak/>
        <w:t>3.3 – La programmation pluriannuelle des investissements</w:t>
      </w:r>
    </w:p>
    <w:p w14:paraId="2E562A7C" w14:textId="77777777" w:rsidR="009A06B5" w:rsidRDefault="009A06B5" w:rsidP="009A06B5">
      <w:pPr>
        <w:autoSpaceDE w:val="0"/>
        <w:autoSpaceDN w:val="0"/>
        <w:adjustRightInd w:val="0"/>
        <w:jc w:val="both"/>
        <w:rPr>
          <w:rFonts w:ascii="Arial" w:eastAsia="Times New Roman" w:hAnsi="Arial" w:cs="Arial"/>
          <w:bCs/>
          <w:sz w:val="20"/>
          <w:szCs w:val="20"/>
          <w:lang w:eastAsia="fr-FR"/>
        </w:rPr>
      </w:pPr>
      <w:r w:rsidRPr="007D37D2">
        <w:rPr>
          <w:rFonts w:ascii="Arial" w:eastAsia="Times New Roman" w:hAnsi="Arial" w:cs="Arial"/>
          <w:bCs/>
          <w:sz w:val="20"/>
          <w:szCs w:val="20"/>
          <w:lang w:eastAsia="fr-FR"/>
        </w:rPr>
        <w:t xml:space="preserve">La programmation pluriannuelle des investissements </w:t>
      </w:r>
      <w:r>
        <w:rPr>
          <w:rFonts w:ascii="Arial" w:eastAsia="Times New Roman" w:hAnsi="Arial" w:cs="Arial"/>
          <w:bCs/>
          <w:sz w:val="20"/>
          <w:szCs w:val="20"/>
          <w:lang w:eastAsia="fr-FR"/>
        </w:rPr>
        <w:t xml:space="preserve">reflète les priorités et les engagements du mandat. Elle fixe les </w:t>
      </w:r>
      <w:r w:rsidRPr="00822DEF">
        <w:rPr>
          <w:rFonts w:ascii="Arial" w:eastAsia="Times New Roman" w:hAnsi="Arial" w:cs="Arial"/>
          <w:bCs/>
          <w:sz w:val="20"/>
          <w:szCs w:val="20"/>
          <w:lang w:eastAsia="fr-FR"/>
        </w:rPr>
        <w:t xml:space="preserve">orientations en matière d’investissement en lien avec la stratégie financière de la collectivité. La priorité est donnée à </w:t>
      </w:r>
      <w:r w:rsidR="00F85D94" w:rsidRPr="00F85D94">
        <w:rPr>
          <w:rFonts w:ascii="Arial" w:eastAsia="Times New Roman" w:hAnsi="Arial" w:cs="Arial"/>
          <w:bCs/>
          <w:sz w:val="20"/>
          <w:szCs w:val="20"/>
          <w:lang w:eastAsia="fr-FR"/>
        </w:rPr>
        <w:t>l’amélioration de l’offre en matière de services publics</w:t>
      </w:r>
      <w:r w:rsidRPr="00822DEF">
        <w:rPr>
          <w:rFonts w:ascii="Arial" w:eastAsia="Times New Roman" w:hAnsi="Arial" w:cs="Arial"/>
          <w:bCs/>
          <w:sz w:val="20"/>
          <w:szCs w:val="20"/>
          <w:lang w:eastAsia="fr-FR"/>
        </w:rPr>
        <w:t xml:space="preserve">, la </w:t>
      </w:r>
      <w:r>
        <w:rPr>
          <w:rFonts w:ascii="Arial" w:eastAsia="Times New Roman" w:hAnsi="Arial" w:cs="Arial"/>
          <w:bCs/>
          <w:sz w:val="20"/>
          <w:szCs w:val="20"/>
          <w:lang w:eastAsia="fr-FR"/>
        </w:rPr>
        <w:t>transition écologique, la rénovation du patrimoine et l’accessibilité des bâtiments communaux.</w:t>
      </w:r>
    </w:p>
    <w:p w14:paraId="3AA8ABCB" w14:textId="77777777" w:rsidR="009A06B5" w:rsidRDefault="009A06B5" w:rsidP="009A06B5">
      <w:pPr>
        <w:autoSpaceDE w:val="0"/>
        <w:autoSpaceDN w:val="0"/>
        <w:adjustRightInd w:val="0"/>
        <w:jc w:val="both"/>
        <w:rPr>
          <w:rFonts w:ascii="Arial" w:eastAsia="Times New Roman" w:hAnsi="Arial" w:cs="Arial"/>
          <w:bCs/>
          <w:sz w:val="20"/>
          <w:szCs w:val="20"/>
          <w:lang w:eastAsia="fr-FR"/>
        </w:rPr>
      </w:pPr>
      <w:r>
        <w:rPr>
          <w:rFonts w:ascii="Arial" w:eastAsia="Times New Roman" w:hAnsi="Arial" w:cs="Arial"/>
          <w:bCs/>
          <w:sz w:val="20"/>
          <w:szCs w:val="20"/>
          <w:lang w:eastAsia="fr-FR"/>
        </w:rPr>
        <w:t>Elle est structurée autour de 5 politiques publiques – rénovation du patrimoine, transition écologique, adaptation des bâtiments, nouveaux équipements publics et aménagements urbains – auxquels s’ajoutent le renouvellement des équipements et les travaux courants.</w:t>
      </w:r>
    </w:p>
    <w:p w14:paraId="73D34EEE" w14:textId="77777777" w:rsidR="009A06B5" w:rsidRPr="00822DEF" w:rsidRDefault="00F85D94" w:rsidP="009A06B5">
      <w:pPr>
        <w:autoSpaceDE w:val="0"/>
        <w:autoSpaceDN w:val="0"/>
        <w:adjustRightInd w:val="0"/>
        <w:jc w:val="both"/>
        <w:rPr>
          <w:rFonts w:ascii="Arial" w:eastAsia="Times New Roman" w:hAnsi="Arial" w:cs="Arial"/>
          <w:bCs/>
          <w:sz w:val="20"/>
          <w:szCs w:val="20"/>
          <w:lang w:eastAsia="fr-FR"/>
        </w:rPr>
      </w:pPr>
      <w:r w:rsidRPr="00F85D94">
        <w:rPr>
          <w:rFonts w:ascii="Arial" w:eastAsia="Times New Roman" w:hAnsi="Arial" w:cs="Arial"/>
          <w:bCs/>
          <w:sz w:val="20"/>
          <w:szCs w:val="20"/>
          <w:lang w:eastAsia="fr-FR"/>
        </w:rPr>
        <w:t xml:space="preserve">Sur la mandature, le montant des investissements prévus est de 40,5 M€, se déclinant comme suit : </w:t>
      </w:r>
    </w:p>
    <w:p w14:paraId="0C87E58B" w14:textId="77777777" w:rsidR="009A06B5" w:rsidRPr="00822DEF" w:rsidRDefault="00F85D94" w:rsidP="009A06B5">
      <w:pPr>
        <w:pStyle w:val="Paragraphedeliste"/>
        <w:numPr>
          <w:ilvl w:val="0"/>
          <w:numId w:val="9"/>
        </w:numPr>
        <w:autoSpaceDE w:val="0"/>
        <w:autoSpaceDN w:val="0"/>
        <w:adjustRightInd w:val="0"/>
        <w:jc w:val="both"/>
        <w:rPr>
          <w:rFonts w:ascii="Arial" w:eastAsia="Times New Roman" w:hAnsi="Arial" w:cs="Arial"/>
          <w:bCs/>
          <w:sz w:val="20"/>
          <w:szCs w:val="20"/>
          <w:lang w:eastAsia="fr-FR"/>
        </w:rPr>
      </w:pPr>
      <w:r w:rsidRPr="00F85D94">
        <w:rPr>
          <w:rFonts w:ascii="Arial" w:eastAsia="Times New Roman" w:hAnsi="Arial" w:cs="Arial"/>
          <w:bCs/>
          <w:sz w:val="20"/>
          <w:szCs w:val="20"/>
          <w:lang w:eastAsia="fr-FR"/>
        </w:rPr>
        <w:t>Amélioration de l’offre en matière de services publics : 14,4 M€ (dont 10,8 M€ pour la réhabilitation du groupe scolaire Blancs Bouleaux, Pasteur, Roux</w:t>
      </w:r>
      <w:r w:rsidR="00A668B5">
        <w:rPr>
          <w:rFonts w:ascii="Arial" w:eastAsia="Times New Roman" w:hAnsi="Arial" w:cs="Arial"/>
          <w:bCs/>
          <w:sz w:val="20"/>
          <w:szCs w:val="20"/>
          <w:lang w:eastAsia="fr-FR"/>
        </w:rPr>
        <w:t>)</w:t>
      </w:r>
    </w:p>
    <w:p w14:paraId="547DBA52" w14:textId="77777777" w:rsidR="009A06B5" w:rsidRPr="00822DEF" w:rsidRDefault="00F85D94" w:rsidP="009A06B5">
      <w:pPr>
        <w:pStyle w:val="Paragraphedeliste"/>
        <w:numPr>
          <w:ilvl w:val="0"/>
          <w:numId w:val="9"/>
        </w:numPr>
        <w:autoSpaceDE w:val="0"/>
        <w:autoSpaceDN w:val="0"/>
        <w:adjustRightInd w:val="0"/>
        <w:jc w:val="both"/>
        <w:rPr>
          <w:rFonts w:ascii="Arial" w:eastAsia="Times New Roman" w:hAnsi="Arial" w:cs="Arial"/>
          <w:bCs/>
          <w:sz w:val="20"/>
          <w:szCs w:val="20"/>
          <w:lang w:eastAsia="fr-FR"/>
        </w:rPr>
      </w:pPr>
      <w:r w:rsidRPr="00F85D94">
        <w:rPr>
          <w:rFonts w:ascii="Arial" w:eastAsia="Times New Roman" w:hAnsi="Arial" w:cs="Arial"/>
          <w:bCs/>
          <w:sz w:val="20"/>
          <w:szCs w:val="20"/>
          <w:lang w:eastAsia="fr-FR"/>
        </w:rPr>
        <w:t>Aménagements urbains : 7,7 M€</w:t>
      </w:r>
    </w:p>
    <w:p w14:paraId="7661B7CC" w14:textId="77777777" w:rsidR="009A06B5" w:rsidRPr="00822DEF" w:rsidRDefault="00F85D94" w:rsidP="009A06B5">
      <w:pPr>
        <w:pStyle w:val="Paragraphedeliste"/>
        <w:numPr>
          <w:ilvl w:val="0"/>
          <w:numId w:val="9"/>
        </w:numPr>
        <w:autoSpaceDE w:val="0"/>
        <w:autoSpaceDN w:val="0"/>
        <w:adjustRightInd w:val="0"/>
        <w:jc w:val="both"/>
        <w:rPr>
          <w:rFonts w:ascii="Arial" w:eastAsia="Times New Roman" w:hAnsi="Arial" w:cs="Arial"/>
          <w:bCs/>
          <w:sz w:val="20"/>
          <w:szCs w:val="20"/>
          <w:lang w:eastAsia="fr-FR"/>
        </w:rPr>
      </w:pPr>
      <w:r w:rsidRPr="00F85D94">
        <w:rPr>
          <w:rFonts w:ascii="Arial" w:eastAsia="Times New Roman" w:hAnsi="Arial" w:cs="Arial"/>
          <w:bCs/>
          <w:sz w:val="20"/>
          <w:szCs w:val="20"/>
          <w:lang w:eastAsia="fr-FR"/>
        </w:rPr>
        <w:t>Transition Écologique : 4,5 M€</w:t>
      </w:r>
    </w:p>
    <w:p w14:paraId="1DD50F69" w14:textId="77777777" w:rsidR="009A06B5" w:rsidRPr="00822DEF" w:rsidRDefault="00F85D94" w:rsidP="009A06B5">
      <w:pPr>
        <w:pStyle w:val="Paragraphedeliste"/>
        <w:numPr>
          <w:ilvl w:val="0"/>
          <w:numId w:val="9"/>
        </w:numPr>
        <w:autoSpaceDE w:val="0"/>
        <w:autoSpaceDN w:val="0"/>
        <w:adjustRightInd w:val="0"/>
        <w:jc w:val="both"/>
        <w:rPr>
          <w:rFonts w:ascii="Arial" w:eastAsia="Times New Roman" w:hAnsi="Arial" w:cs="Arial"/>
          <w:bCs/>
          <w:sz w:val="20"/>
          <w:szCs w:val="20"/>
          <w:lang w:eastAsia="fr-FR"/>
        </w:rPr>
      </w:pPr>
      <w:r w:rsidRPr="00F85D94">
        <w:rPr>
          <w:rFonts w:ascii="Arial" w:eastAsia="Times New Roman" w:hAnsi="Arial" w:cs="Arial"/>
          <w:bCs/>
          <w:sz w:val="20"/>
          <w:szCs w:val="20"/>
          <w:lang w:eastAsia="fr-FR"/>
        </w:rPr>
        <w:t>Rénovation du patrimoine immobilier : 4,5 M€</w:t>
      </w:r>
    </w:p>
    <w:p w14:paraId="11BD0431" w14:textId="77777777" w:rsidR="009A06B5" w:rsidRPr="00822DEF" w:rsidRDefault="00F85D94" w:rsidP="009A06B5">
      <w:pPr>
        <w:pStyle w:val="Paragraphedeliste"/>
        <w:numPr>
          <w:ilvl w:val="0"/>
          <w:numId w:val="9"/>
        </w:numPr>
        <w:autoSpaceDE w:val="0"/>
        <w:autoSpaceDN w:val="0"/>
        <w:adjustRightInd w:val="0"/>
        <w:jc w:val="both"/>
        <w:rPr>
          <w:rFonts w:ascii="Arial" w:eastAsia="Times New Roman" w:hAnsi="Arial" w:cs="Arial"/>
          <w:bCs/>
          <w:sz w:val="20"/>
          <w:szCs w:val="20"/>
          <w:lang w:eastAsia="fr-FR"/>
        </w:rPr>
      </w:pPr>
      <w:r w:rsidRPr="00F85D94">
        <w:rPr>
          <w:rFonts w:ascii="Arial" w:eastAsia="Times New Roman" w:hAnsi="Arial" w:cs="Arial"/>
          <w:bCs/>
          <w:sz w:val="20"/>
          <w:szCs w:val="20"/>
          <w:lang w:eastAsia="fr-FR"/>
        </w:rPr>
        <w:t>Accessibilité des bâtiments communaux : 2,5 M€</w:t>
      </w:r>
    </w:p>
    <w:p w14:paraId="1B568580" w14:textId="77777777" w:rsidR="009A06B5" w:rsidRPr="00822DEF" w:rsidRDefault="00F85D94" w:rsidP="009A06B5">
      <w:pPr>
        <w:pStyle w:val="Paragraphedeliste"/>
        <w:numPr>
          <w:ilvl w:val="0"/>
          <w:numId w:val="9"/>
        </w:numPr>
        <w:autoSpaceDE w:val="0"/>
        <w:autoSpaceDN w:val="0"/>
        <w:adjustRightInd w:val="0"/>
        <w:jc w:val="both"/>
        <w:rPr>
          <w:rFonts w:ascii="Arial" w:eastAsia="Times New Roman" w:hAnsi="Arial" w:cs="Arial"/>
          <w:bCs/>
          <w:sz w:val="20"/>
          <w:szCs w:val="20"/>
          <w:lang w:eastAsia="fr-FR"/>
        </w:rPr>
      </w:pPr>
      <w:r w:rsidRPr="00F85D94">
        <w:rPr>
          <w:rFonts w:ascii="Arial" w:eastAsia="Times New Roman" w:hAnsi="Arial" w:cs="Arial"/>
          <w:bCs/>
          <w:sz w:val="20"/>
          <w:szCs w:val="20"/>
          <w:lang w:eastAsia="fr-FR"/>
        </w:rPr>
        <w:t>Budget participatif : 0,4 M€</w:t>
      </w:r>
    </w:p>
    <w:p w14:paraId="614C2DBB" w14:textId="77777777" w:rsidR="009A06B5" w:rsidRPr="00822DEF" w:rsidRDefault="00F85D94" w:rsidP="009A06B5">
      <w:pPr>
        <w:pStyle w:val="Paragraphedeliste"/>
        <w:numPr>
          <w:ilvl w:val="0"/>
          <w:numId w:val="9"/>
        </w:numPr>
        <w:autoSpaceDE w:val="0"/>
        <w:autoSpaceDN w:val="0"/>
        <w:adjustRightInd w:val="0"/>
        <w:jc w:val="both"/>
        <w:rPr>
          <w:rFonts w:ascii="Arial" w:eastAsia="Times New Roman" w:hAnsi="Arial" w:cs="Arial"/>
          <w:bCs/>
          <w:sz w:val="20"/>
          <w:szCs w:val="20"/>
          <w:lang w:eastAsia="fr-FR"/>
        </w:rPr>
      </w:pPr>
      <w:r w:rsidRPr="00F85D94">
        <w:rPr>
          <w:rFonts w:ascii="Arial" w:eastAsia="Times New Roman" w:hAnsi="Arial" w:cs="Arial"/>
          <w:bCs/>
          <w:sz w:val="20"/>
          <w:szCs w:val="20"/>
          <w:lang w:eastAsia="fr-FR"/>
        </w:rPr>
        <w:t xml:space="preserve">Renouvellement des équipements et travaux d’entretien courant : 6,5 M€. </w:t>
      </w:r>
    </w:p>
    <w:p w14:paraId="42833B8C" w14:textId="77777777" w:rsidR="009A06B5" w:rsidRPr="00822DEF" w:rsidRDefault="00F85D94" w:rsidP="009A06B5">
      <w:pPr>
        <w:autoSpaceDE w:val="0"/>
        <w:autoSpaceDN w:val="0"/>
        <w:adjustRightInd w:val="0"/>
        <w:jc w:val="both"/>
        <w:rPr>
          <w:rFonts w:ascii="Arial" w:eastAsia="Times New Roman" w:hAnsi="Arial" w:cs="Arial"/>
          <w:bCs/>
          <w:sz w:val="20"/>
          <w:szCs w:val="20"/>
          <w:lang w:eastAsia="fr-FR"/>
        </w:rPr>
      </w:pPr>
      <w:r w:rsidRPr="00F85D94">
        <w:rPr>
          <w:rFonts w:ascii="Arial" w:eastAsia="Times New Roman" w:hAnsi="Arial" w:cs="Arial"/>
          <w:bCs/>
          <w:sz w:val="20"/>
          <w:szCs w:val="20"/>
          <w:lang w:eastAsia="fr-FR"/>
        </w:rPr>
        <w:t xml:space="preserve">Le financement de ces investissements sera assuré comme suit : </w:t>
      </w:r>
    </w:p>
    <w:p w14:paraId="3F9030D1" w14:textId="77777777" w:rsidR="009A06B5" w:rsidRPr="00822DEF" w:rsidRDefault="00F85D94" w:rsidP="009A06B5">
      <w:pPr>
        <w:pStyle w:val="Paragraphedeliste"/>
        <w:numPr>
          <w:ilvl w:val="0"/>
          <w:numId w:val="9"/>
        </w:numPr>
        <w:autoSpaceDE w:val="0"/>
        <w:autoSpaceDN w:val="0"/>
        <w:adjustRightInd w:val="0"/>
        <w:jc w:val="both"/>
        <w:rPr>
          <w:rFonts w:ascii="Arial" w:eastAsia="Times New Roman" w:hAnsi="Arial" w:cs="Arial"/>
          <w:bCs/>
          <w:sz w:val="20"/>
          <w:szCs w:val="20"/>
          <w:lang w:eastAsia="fr-FR"/>
        </w:rPr>
      </w:pPr>
      <w:r w:rsidRPr="00F85D94">
        <w:rPr>
          <w:rFonts w:ascii="Arial" w:eastAsia="Times New Roman" w:hAnsi="Arial" w:cs="Arial"/>
          <w:bCs/>
          <w:sz w:val="20"/>
          <w:szCs w:val="20"/>
          <w:lang w:eastAsia="fr-FR"/>
        </w:rPr>
        <w:t>Par obtention de subventions publiques : 5,8 M€ (14%)</w:t>
      </w:r>
    </w:p>
    <w:p w14:paraId="19AD9C4B" w14:textId="77777777" w:rsidR="009A06B5" w:rsidRPr="00822DEF" w:rsidRDefault="00F85D94" w:rsidP="009A06B5">
      <w:pPr>
        <w:pStyle w:val="Paragraphedeliste"/>
        <w:numPr>
          <w:ilvl w:val="0"/>
          <w:numId w:val="9"/>
        </w:numPr>
        <w:autoSpaceDE w:val="0"/>
        <w:autoSpaceDN w:val="0"/>
        <w:adjustRightInd w:val="0"/>
        <w:jc w:val="both"/>
        <w:rPr>
          <w:rFonts w:ascii="Arial" w:eastAsia="Times New Roman" w:hAnsi="Arial" w:cs="Arial"/>
          <w:bCs/>
          <w:sz w:val="20"/>
          <w:szCs w:val="20"/>
          <w:lang w:eastAsia="fr-FR"/>
        </w:rPr>
      </w:pPr>
      <w:r w:rsidRPr="00F85D94">
        <w:rPr>
          <w:rFonts w:ascii="Arial" w:eastAsia="Times New Roman" w:hAnsi="Arial" w:cs="Arial"/>
          <w:bCs/>
          <w:sz w:val="20"/>
          <w:szCs w:val="20"/>
          <w:lang w:eastAsia="fr-FR"/>
        </w:rPr>
        <w:t>Par remboursement de la TVA décaissée (FCTVA) : 6 M€ (15%)</w:t>
      </w:r>
    </w:p>
    <w:p w14:paraId="34519EF9" w14:textId="77777777" w:rsidR="009A06B5" w:rsidRPr="00822DEF" w:rsidRDefault="00F85D94" w:rsidP="009A06B5">
      <w:pPr>
        <w:pStyle w:val="Paragraphedeliste"/>
        <w:numPr>
          <w:ilvl w:val="0"/>
          <w:numId w:val="9"/>
        </w:numPr>
        <w:autoSpaceDE w:val="0"/>
        <w:autoSpaceDN w:val="0"/>
        <w:adjustRightInd w:val="0"/>
        <w:jc w:val="both"/>
        <w:rPr>
          <w:rFonts w:ascii="Arial" w:eastAsia="Times New Roman" w:hAnsi="Arial" w:cs="Arial"/>
          <w:bCs/>
          <w:sz w:val="20"/>
          <w:szCs w:val="20"/>
          <w:lang w:eastAsia="fr-FR"/>
        </w:rPr>
      </w:pPr>
      <w:r w:rsidRPr="00F85D94">
        <w:rPr>
          <w:rFonts w:ascii="Arial" w:eastAsia="Times New Roman" w:hAnsi="Arial" w:cs="Arial"/>
          <w:bCs/>
          <w:sz w:val="20"/>
          <w:szCs w:val="20"/>
          <w:lang w:eastAsia="fr-FR"/>
        </w:rPr>
        <w:t>Par les produits de la taxe d’aménagement : 1,7 M€ (4%)</w:t>
      </w:r>
    </w:p>
    <w:p w14:paraId="3A4C7300" w14:textId="77777777" w:rsidR="009A06B5" w:rsidRPr="00822DEF" w:rsidRDefault="00F85D94" w:rsidP="009A06B5">
      <w:pPr>
        <w:pStyle w:val="Paragraphedeliste"/>
        <w:numPr>
          <w:ilvl w:val="0"/>
          <w:numId w:val="9"/>
        </w:numPr>
        <w:autoSpaceDE w:val="0"/>
        <w:autoSpaceDN w:val="0"/>
        <w:adjustRightInd w:val="0"/>
        <w:jc w:val="both"/>
        <w:rPr>
          <w:rFonts w:ascii="Arial" w:eastAsia="Times New Roman" w:hAnsi="Arial" w:cs="Arial"/>
          <w:bCs/>
          <w:sz w:val="20"/>
          <w:szCs w:val="20"/>
          <w:lang w:eastAsia="fr-FR"/>
        </w:rPr>
      </w:pPr>
      <w:r w:rsidRPr="00F85D94">
        <w:rPr>
          <w:rFonts w:ascii="Arial" w:eastAsia="Times New Roman" w:hAnsi="Arial" w:cs="Arial"/>
          <w:bCs/>
          <w:sz w:val="20"/>
          <w:szCs w:val="20"/>
          <w:lang w:eastAsia="fr-FR"/>
        </w:rPr>
        <w:t>Par la cession de foncier ou de droits à construire : 3,7 M€ (9%)</w:t>
      </w:r>
    </w:p>
    <w:p w14:paraId="21E497DA" w14:textId="77777777" w:rsidR="009A06B5" w:rsidRPr="00822DEF" w:rsidRDefault="00F85D94" w:rsidP="009A06B5">
      <w:pPr>
        <w:pStyle w:val="Paragraphedeliste"/>
        <w:numPr>
          <w:ilvl w:val="0"/>
          <w:numId w:val="9"/>
        </w:numPr>
        <w:autoSpaceDE w:val="0"/>
        <w:autoSpaceDN w:val="0"/>
        <w:adjustRightInd w:val="0"/>
        <w:jc w:val="both"/>
        <w:rPr>
          <w:rFonts w:ascii="Arial" w:eastAsia="Times New Roman" w:hAnsi="Arial" w:cs="Arial"/>
          <w:bCs/>
          <w:sz w:val="20"/>
          <w:szCs w:val="20"/>
          <w:lang w:eastAsia="fr-FR"/>
        </w:rPr>
      </w:pPr>
      <w:r w:rsidRPr="00F85D94">
        <w:rPr>
          <w:rFonts w:ascii="Arial" w:eastAsia="Times New Roman" w:hAnsi="Arial" w:cs="Arial"/>
          <w:bCs/>
          <w:sz w:val="20"/>
          <w:szCs w:val="20"/>
          <w:lang w:eastAsia="fr-FR"/>
        </w:rPr>
        <w:t>Par autofinancement : : 1,4 M€ (3,5%)</w:t>
      </w:r>
    </w:p>
    <w:p w14:paraId="59A2394C" w14:textId="77777777" w:rsidR="009A06B5" w:rsidRPr="00822DEF" w:rsidRDefault="00F85D94" w:rsidP="009A06B5">
      <w:pPr>
        <w:pStyle w:val="Paragraphedeliste"/>
        <w:numPr>
          <w:ilvl w:val="0"/>
          <w:numId w:val="9"/>
        </w:numPr>
        <w:autoSpaceDE w:val="0"/>
        <w:autoSpaceDN w:val="0"/>
        <w:adjustRightInd w:val="0"/>
        <w:jc w:val="both"/>
        <w:rPr>
          <w:rFonts w:ascii="Arial" w:eastAsia="Times New Roman" w:hAnsi="Arial" w:cs="Arial"/>
          <w:bCs/>
          <w:sz w:val="20"/>
          <w:szCs w:val="20"/>
          <w:lang w:eastAsia="fr-FR"/>
        </w:rPr>
      </w:pPr>
      <w:r w:rsidRPr="00F85D94">
        <w:rPr>
          <w:rFonts w:ascii="Arial" w:eastAsia="Times New Roman" w:hAnsi="Arial" w:cs="Arial"/>
          <w:bCs/>
          <w:sz w:val="20"/>
          <w:szCs w:val="20"/>
          <w:lang w:eastAsia="fr-FR"/>
        </w:rPr>
        <w:t xml:space="preserve">Par recours à l’emprunt : 21,9 M€ (54%). </w:t>
      </w:r>
    </w:p>
    <w:p w14:paraId="3F7CEDCE" w14:textId="77777777" w:rsidR="009A06B5" w:rsidRPr="00822DEF" w:rsidRDefault="00F85D94" w:rsidP="009A06B5">
      <w:pPr>
        <w:autoSpaceDE w:val="0"/>
        <w:autoSpaceDN w:val="0"/>
        <w:adjustRightInd w:val="0"/>
        <w:jc w:val="both"/>
        <w:rPr>
          <w:rFonts w:ascii="Arial" w:eastAsia="Times New Roman" w:hAnsi="Arial" w:cs="Arial"/>
          <w:b/>
          <w:bCs/>
          <w:sz w:val="20"/>
          <w:szCs w:val="20"/>
          <w:lang w:eastAsia="fr-FR"/>
        </w:rPr>
      </w:pPr>
      <w:r w:rsidRPr="00F85D94">
        <w:rPr>
          <w:rFonts w:ascii="Arial" w:eastAsia="Times New Roman" w:hAnsi="Arial" w:cs="Arial"/>
          <w:b/>
          <w:bCs/>
          <w:sz w:val="20"/>
          <w:szCs w:val="20"/>
          <w:lang w:eastAsia="fr-FR"/>
        </w:rPr>
        <w:t xml:space="preserve">En parallèle, les annuités d’emprunt remboursées (part capital) représentant 22,9 M€, l’évolution de la dette sera maîtrisée, en progression de 1 M€ pour 40,5 M€ d’investissements. </w:t>
      </w:r>
    </w:p>
    <w:p w14:paraId="36BBBF78" w14:textId="77777777" w:rsidR="00F53584" w:rsidRPr="00822DEF" w:rsidRDefault="00D30261" w:rsidP="00F53584">
      <w:pPr>
        <w:autoSpaceDE w:val="0"/>
        <w:autoSpaceDN w:val="0"/>
        <w:adjustRightInd w:val="0"/>
        <w:jc w:val="both"/>
        <w:rPr>
          <w:rFonts w:ascii="Arial" w:eastAsia="Times New Roman" w:hAnsi="Arial" w:cs="Arial"/>
          <w:bCs/>
          <w:sz w:val="20"/>
          <w:szCs w:val="20"/>
          <w:lang w:eastAsia="fr-FR"/>
        </w:rPr>
      </w:pPr>
      <w:r w:rsidRPr="00822DEF">
        <w:rPr>
          <w:rFonts w:ascii="Arial" w:eastAsia="Times New Roman" w:hAnsi="Arial" w:cs="Arial"/>
          <w:bCs/>
          <w:sz w:val="20"/>
          <w:szCs w:val="20"/>
          <w:lang w:eastAsia="fr-FR"/>
        </w:rPr>
        <w:t xml:space="preserve">Cette maitrise de la dette est le résultat de la </w:t>
      </w:r>
      <w:r w:rsidR="00F53584" w:rsidRPr="00822DEF">
        <w:rPr>
          <w:rFonts w:ascii="Arial" w:eastAsia="Times New Roman" w:hAnsi="Arial" w:cs="Arial"/>
          <w:bCs/>
          <w:sz w:val="20"/>
          <w:szCs w:val="20"/>
          <w:lang w:eastAsia="fr-FR"/>
        </w:rPr>
        <w:t>démarche de recherche de financements publics</w:t>
      </w:r>
      <w:r w:rsidRPr="00822DEF">
        <w:rPr>
          <w:rFonts w:ascii="Arial" w:eastAsia="Times New Roman" w:hAnsi="Arial" w:cs="Arial"/>
          <w:bCs/>
          <w:sz w:val="20"/>
          <w:szCs w:val="20"/>
          <w:lang w:eastAsia="fr-FR"/>
        </w:rPr>
        <w:t>, qui</w:t>
      </w:r>
      <w:r w:rsidR="00F53584" w:rsidRPr="00822DEF">
        <w:rPr>
          <w:rFonts w:ascii="Arial" w:eastAsia="Times New Roman" w:hAnsi="Arial" w:cs="Arial"/>
          <w:bCs/>
          <w:sz w:val="20"/>
          <w:szCs w:val="20"/>
          <w:lang w:eastAsia="fr-FR"/>
        </w:rPr>
        <w:t xml:space="preserve"> a été engagée</w:t>
      </w:r>
      <w:r w:rsidRPr="00822DEF">
        <w:rPr>
          <w:rFonts w:ascii="Arial" w:eastAsia="Times New Roman" w:hAnsi="Arial" w:cs="Arial"/>
          <w:bCs/>
          <w:sz w:val="20"/>
          <w:szCs w:val="20"/>
          <w:lang w:eastAsia="fr-FR"/>
        </w:rPr>
        <w:t>.</w:t>
      </w:r>
      <w:r w:rsidR="00F53584" w:rsidRPr="00822DEF">
        <w:rPr>
          <w:rFonts w:ascii="Arial" w:eastAsia="Times New Roman" w:hAnsi="Arial" w:cs="Arial"/>
          <w:bCs/>
          <w:sz w:val="20"/>
          <w:szCs w:val="20"/>
          <w:lang w:eastAsia="fr-FR"/>
        </w:rPr>
        <w:t xml:space="preserve"> Les premiers résultats sur 2021 sont très encourageants, ainsi que les perspectives sur 2022</w:t>
      </w:r>
      <w:r w:rsidRPr="00822DEF">
        <w:rPr>
          <w:rFonts w:ascii="Arial" w:eastAsia="Times New Roman" w:hAnsi="Arial" w:cs="Arial"/>
          <w:bCs/>
          <w:sz w:val="20"/>
          <w:szCs w:val="20"/>
          <w:lang w:eastAsia="fr-FR"/>
        </w:rPr>
        <w:t xml:space="preserve"> (1639 k€). Sur 2022 comme sur les années suivantes, l’engagement </w:t>
      </w:r>
      <w:r w:rsidR="00F53584" w:rsidRPr="00822DEF">
        <w:rPr>
          <w:rFonts w:ascii="Arial" w:eastAsia="Times New Roman" w:hAnsi="Arial" w:cs="Arial"/>
          <w:bCs/>
          <w:sz w:val="20"/>
          <w:szCs w:val="20"/>
          <w:lang w:eastAsia="fr-FR"/>
        </w:rPr>
        <w:t xml:space="preserve">d’une </w:t>
      </w:r>
      <w:r w:rsidRPr="00822DEF">
        <w:rPr>
          <w:rFonts w:ascii="Arial" w:eastAsia="Times New Roman" w:hAnsi="Arial" w:cs="Arial"/>
          <w:bCs/>
          <w:sz w:val="20"/>
          <w:szCs w:val="20"/>
          <w:lang w:eastAsia="fr-FR"/>
        </w:rPr>
        <w:t>partie des investissements est</w:t>
      </w:r>
      <w:r w:rsidR="00F53584" w:rsidRPr="00822DEF">
        <w:rPr>
          <w:rFonts w:ascii="Arial" w:eastAsia="Times New Roman" w:hAnsi="Arial" w:cs="Arial"/>
          <w:bCs/>
          <w:sz w:val="20"/>
          <w:szCs w:val="20"/>
          <w:lang w:eastAsia="fr-FR"/>
        </w:rPr>
        <w:t xml:space="preserve"> conditionné à l’obtention d’une participation des différents financeurs. </w:t>
      </w:r>
    </w:p>
    <w:p w14:paraId="5BAD2AF2" w14:textId="77777777" w:rsidR="00F53584" w:rsidRDefault="00F53584" w:rsidP="009A06B5">
      <w:pPr>
        <w:autoSpaceDE w:val="0"/>
        <w:autoSpaceDN w:val="0"/>
        <w:adjustRightInd w:val="0"/>
        <w:jc w:val="both"/>
        <w:rPr>
          <w:rFonts w:ascii="Arial" w:eastAsia="Times New Roman" w:hAnsi="Arial" w:cs="Arial"/>
          <w:bCs/>
          <w:sz w:val="20"/>
          <w:szCs w:val="20"/>
          <w:lang w:eastAsia="fr-FR"/>
        </w:rPr>
      </w:pPr>
    </w:p>
    <w:p w14:paraId="1D556347" w14:textId="77777777" w:rsidR="009A06B5" w:rsidRDefault="009A06B5" w:rsidP="009A06B5">
      <w:pPr>
        <w:autoSpaceDE w:val="0"/>
        <w:autoSpaceDN w:val="0"/>
        <w:adjustRightInd w:val="0"/>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Plus particulièrement sur la période 2022-2024, sont prévus : </w:t>
      </w:r>
    </w:p>
    <w:p w14:paraId="6FCE5AB4" w14:textId="77777777" w:rsidR="009A06B5" w:rsidRDefault="009A06B5" w:rsidP="009A06B5">
      <w:pPr>
        <w:autoSpaceDE w:val="0"/>
        <w:autoSpaceDN w:val="0"/>
        <w:adjustRightInd w:val="0"/>
        <w:jc w:val="both"/>
        <w:rPr>
          <w:rFonts w:ascii="Arial" w:eastAsia="Times New Roman" w:hAnsi="Arial" w:cs="Arial"/>
          <w:bCs/>
          <w:sz w:val="20"/>
          <w:szCs w:val="20"/>
          <w:lang w:eastAsia="fr-FR"/>
        </w:rPr>
      </w:pPr>
    </w:p>
    <w:p w14:paraId="5A7AA945" w14:textId="77777777" w:rsidR="009A06B5" w:rsidRDefault="009A06B5" w:rsidP="009A06B5">
      <w:pPr>
        <w:autoSpaceDE w:val="0"/>
        <w:autoSpaceDN w:val="0"/>
        <w:adjustRightInd w:val="0"/>
        <w:jc w:val="both"/>
        <w:rPr>
          <w:rFonts w:ascii="Arial" w:eastAsia="Times New Roman" w:hAnsi="Arial" w:cs="Arial"/>
          <w:bCs/>
          <w:sz w:val="20"/>
          <w:szCs w:val="20"/>
          <w:lang w:eastAsia="fr-FR"/>
        </w:rPr>
      </w:pPr>
    </w:p>
    <w:p w14:paraId="2EBC9BE7" w14:textId="77777777" w:rsidR="009A06B5" w:rsidRDefault="009A06B5" w:rsidP="009A06B5">
      <w:pPr>
        <w:autoSpaceDE w:val="0"/>
        <w:autoSpaceDN w:val="0"/>
        <w:adjustRightInd w:val="0"/>
        <w:jc w:val="both"/>
        <w:rPr>
          <w:rFonts w:ascii="Arial" w:eastAsia="Times New Roman" w:hAnsi="Arial" w:cs="Arial"/>
          <w:bCs/>
          <w:sz w:val="20"/>
          <w:szCs w:val="20"/>
          <w:lang w:eastAsia="fr-FR"/>
        </w:rPr>
      </w:pPr>
    </w:p>
    <w:p w14:paraId="14B5AC9C" w14:textId="77777777" w:rsidR="009A06B5" w:rsidRDefault="009A06B5" w:rsidP="009A06B5">
      <w:pPr>
        <w:autoSpaceDE w:val="0"/>
        <w:autoSpaceDN w:val="0"/>
        <w:adjustRightInd w:val="0"/>
        <w:jc w:val="both"/>
        <w:rPr>
          <w:rFonts w:ascii="Arial" w:eastAsia="Times New Roman" w:hAnsi="Arial" w:cs="Arial"/>
          <w:bCs/>
          <w:sz w:val="20"/>
          <w:szCs w:val="20"/>
          <w:lang w:eastAsia="fr-FR"/>
        </w:rPr>
      </w:pPr>
    </w:p>
    <w:p w14:paraId="18AB9F49" w14:textId="77777777" w:rsidR="009A06B5" w:rsidRDefault="009A06B5" w:rsidP="009A06B5">
      <w:pPr>
        <w:autoSpaceDE w:val="0"/>
        <w:autoSpaceDN w:val="0"/>
        <w:adjustRightInd w:val="0"/>
        <w:jc w:val="both"/>
        <w:rPr>
          <w:rFonts w:ascii="Arial" w:eastAsia="Times New Roman" w:hAnsi="Arial" w:cs="Arial"/>
          <w:bCs/>
          <w:sz w:val="20"/>
          <w:szCs w:val="20"/>
          <w:lang w:eastAsia="fr-FR"/>
        </w:rPr>
      </w:pPr>
    </w:p>
    <w:p w14:paraId="0B0A795B" w14:textId="77777777" w:rsidR="009A06B5" w:rsidRDefault="009A06B5" w:rsidP="009A06B5">
      <w:pPr>
        <w:autoSpaceDE w:val="0"/>
        <w:autoSpaceDN w:val="0"/>
        <w:adjustRightInd w:val="0"/>
        <w:jc w:val="both"/>
        <w:rPr>
          <w:rFonts w:ascii="Arial" w:eastAsia="Times New Roman" w:hAnsi="Arial" w:cs="Arial"/>
          <w:bCs/>
          <w:sz w:val="20"/>
          <w:szCs w:val="20"/>
          <w:lang w:eastAsia="fr-FR"/>
        </w:rPr>
      </w:pPr>
    </w:p>
    <w:p w14:paraId="2BDE56A0" w14:textId="77777777" w:rsidR="009A06B5" w:rsidRDefault="009A06B5" w:rsidP="009A06B5">
      <w:pPr>
        <w:autoSpaceDE w:val="0"/>
        <w:autoSpaceDN w:val="0"/>
        <w:adjustRightInd w:val="0"/>
        <w:jc w:val="both"/>
        <w:rPr>
          <w:rFonts w:ascii="Arial" w:eastAsia="Times New Roman" w:hAnsi="Arial" w:cs="Arial"/>
          <w:bCs/>
          <w:sz w:val="20"/>
          <w:szCs w:val="20"/>
          <w:lang w:eastAsia="fr-FR"/>
        </w:rPr>
      </w:pPr>
    </w:p>
    <w:tbl>
      <w:tblPr>
        <w:tblStyle w:val="Grilledutableau"/>
        <w:tblW w:w="9776" w:type="dxa"/>
        <w:tblLayout w:type="fixed"/>
        <w:tblLook w:val="04A0" w:firstRow="1" w:lastRow="0" w:firstColumn="1" w:lastColumn="0" w:noHBand="0" w:noVBand="1"/>
      </w:tblPr>
      <w:tblGrid>
        <w:gridCol w:w="675"/>
        <w:gridCol w:w="5132"/>
        <w:gridCol w:w="1276"/>
        <w:gridCol w:w="1276"/>
        <w:gridCol w:w="1417"/>
      </w:tblGrid>
      <w:tr w:rsidR="00F53A17" w:rsidRPr="00BA2A78" w14:paraId="15520928" w14:textId="77777777" w:rsidTr="006D5641">
        <w:tc>
          <w:tcPr>
            <w:tcW w:w="675" w:type="dxa"/>
            <w:tcBorders>
              <w:right w:val="nil"/>
            </w:tcBorders>
          </w:tcPr>
          <w:p w14:paraId="2E0E3843" w14:textId="77777777" w:rsidR="00F53A17" w:rsidRPr="00BA2A78" w:rsidRDefault="00F53A17" w:rsidP="00272C13">
            <w:pPr>
              <w:spacing w:before="60" w:after="60"/>
              <w:jc w:val="center"/>
              <w:outlineLvl w:val="1"/>
              <w:rPr>
                <w:rFonts w:ascii="Arial" w:eastAsia="Times New Roman" w:hAnsi="Arial" w:cs="Arial"/>
                <w:bCs/>
                <w:sz w:val="16"/>
                <w:szCs w:val="16"/>
                <w:lang w:eastAsia="fr-FR"/>
              </w:rPr>
            </w:pPr>
            <w:r w:rsidRPr="00BA2A78">
              <w:rPr>
                <w:rFonts w:ascii="Arial" w:eastAsia="Times New Roman" w:hAnsi="Arial" w:cs="Arial"/>
                <w:bCs/>
                <w:sz w:val="16"/>
                <w:szCs w:val="16"/>
                <w:lang w:eastAsia="fr-FR"/>
              </w:rPr>
              <w:lastRenderedPageBreak/>
              <w:t>En K€</w:t>
            </w:r>
          </w:p>
        </w:tc>
        <w:tc>
          <w:tcPr>
            <w:tcW w:w="5132" w:type="dxa"/>
            <w:tcBorders>
              <w:left w:val="nil"/>
            </w:tcBorders>
          </w:tcPr>
          <w:p w14:paraId="72911B48" w14:textId="77777777" w:rsidR="00F53A17" w:rsidRPr="00BA2A78" w:rsidRDefault="00F53A17" w:rsidP="00272C13">
            <w:pPr>
              <w:spacing w:before="60" w:after="60"/>
              <w:jc w:val="center"/>
              <w:outlineLvl w:val="1"/>
              <w:rPr>
                <w:rFonts w:ascii="Arial" w:eastAsia="Times New Roman" w:hAnsi="Arial" w:cs="Arial"/>
                <w:bCs/>
                <w:sz w:val="16"/>
                <w:szCs w:val="16"/>
                <w:lang w:eastAsia="fr-FR"/>
              </w:rPr>
            </w:pPr>
          </w:p>
        </w:tc>
        <w:tc>
          <w:tcPr>
            <w:tcW w:w="1276" w:type="dxa"/>
          </w:tcPr>
          <w:p w14:paraId="43D09B28" w14:textId="77777777" w:rsidR="00F53A17" w:rsidRPr="00BA2A78" w:rsidRDefault="00F53A17" w:rsidP="00272C13">
            <w:pPr>
              <w:spacing w:before="60" w:after="60"/>
              <w:jc w:val="center"/>
              <w:outlineLvl w:val="1"/>
              <w:rPr>
                <w:rFonts w:ascii="Arial" w:eastAsia="Times New Roman" w:hAnsi="Arial" w:cs="Arial"/>
                <w:bCs/>
                <w:sz w:val="16"/>
                <w:szCs w:val="16"/>
                <w:lang w:eastAsia="fr-FR"/>
              </w:rPr>
            </w:pPr>
            <w:r w:rsidRPr="00BA2A78">
              <w:rPr>
                <w:rFonts w:ascii="Arial" w:eastAsia="Times New Roman" w:hAnsi="Arial" w:cs="Arial"/>
                <w:bCs/>
                <w:sz w:val="16"/>
                <w:szCs w:val="16"/>
                <w:lang w:eastAsia="fr-FR"/>
              </w:rPr>
              <w:t>202</w:t>
            </w:r>
            <w:r>
              <w:rPr>
                <w:rFonts w:ascii="Arial" w:eastAsia="Times New Roman" w:hAnsi="Arial" w:cs="Arial"/>
                <w:bCs/>
                <w:sz w:val="16"/>
                <w:szCs w:val="16"/>
                <w:lang w:eastAsia="fr-FR"/>
              </w:rPr>
              <w:t>2</w:t>
            </w:r>
          </w:p>
        </w:tc>
        <w:tc>
          <w:tcPr>
            <w:tcW w:w="1276" w:type="dxa"/>
          </w:tcPr>
          <w:p w14:paraId="34DD2D11" w14:textId="77777777" w:rsidR="00F53A17" w:rsidRPr="00BA2A78" w:rsidRDefault="00F53A17" w:rsidP="00272C13">
            <w:pPr>
              <w:spacing w:before="60" w:after="60"/>
              <w:jc w:val="center"/>
              <w:outlineLvl w:val="1"/>
              <w:rPr>
                <w:rFonts w:ascii="Arial" w:eastAsia="Times New Roman" w:hAnsi="Arial" w:cs="Arial"/>
                <w:bCs/>
                <w:sz w:val="16"/>
                <w:szCs w:val="16"/>
                <w:lang w:eastAsia="fr-FR"/>
              </w:rPr>
            </w:pPr>
            <w:r w:rsidRPr="00BA2A78">
              <w:rPr>
                <w:rFonts w:ascii="Arial" w:eastAsia="Times New Roman" w:hAnsi="Arial" w:cs="Arial"/>
                <w:bCs/>
                <w:sz w:val="16"/>
                <w:szCs w:val="16"/>
                <w:lang w:eastAsia="fr-FR"/>
              </w:rPr>
              <w:t>202</w:t>
            </w:r>
            <w:r>
              <w:rPr>
                <w:rFonts w:ascii="Arial" w:eastAsia="Times New Roman" w:hAnsi="Arial" w:cs="Arial"/>
                <w:bCs/>
                <w:sz w:val="16"/>
                <w:szCs w:val="16"/>
                <w:lang w:eastAsia="fr-FR"/>
              </w:rPr>
              <w:t>3</w:t>
            </w:r>
          </w:p>
        </w:tc>
        <w:tc>
          <w:tcPr>
            <w:tcW w:w="1417" w:type="dxa"/>
          </w:tcPr>
          <w:p w14:paraId="2416AF5B" w14:textId="77777777" w:rsidR="00F53A17" w:rsidRPr="00BA2A78" w:rsidRDefault="00F53A17" w:rsidP="00272C13">
            <w:pPr>
              <w:spacing w:before="60" w:after="60"/>
              <w:jc w:val="center"/>
              <w:outlineLvl w:val="1"/>
              <w:rPr>
                <w:rFonts w:ascii="Arial" w:eastAsia="Times New Roman" w:hAnsi="Arial" w:cs="Arial"/>
                <w:bCs/>
                <w:sz w:val="16"/>
                <w:szCs w:val="16"/>
                <w:lang w:eastAsia="fr-FR"/>
              </w:rPr>
            </w:pPr>
            <w:r w:rsidRPr="00BA2A78">
              <w:rPr>
                <w:rFonts w:ascii="Arial" w:eastAsia="Times New Roman" w:hAnsi="Arial" w:cs="Arial"/>
                <w:bCs/>
                <w:sz w:val="16"/>
                <w:szCs w:val="16"/>
                <w:lang w:eastAsia="fr-FR"/>
              </w:rPr>
              <w:t>202</w:t>
            </w:r>
            <w:r>
              <w:rPr>
                <w:rFonts w:ascii="Arial" w:eastAsia="Times New Roman" w:hAnsi="Arial" w:cs="Arial"/>
                <w:bCs/>
                <w:sz w:val="16"/>
                <w:szCs w:val="16"/>
                <w:lang w:eastAsia="fr-FR"/>
              </w:rPr>
              <w:t>4</w:t>
            </w:r>
          </w:p>
        </w:tc>
      </w:tr>
      <w:tr w:rsidR="00F53A17" w:rsidRPr="00BA2A78" w14:paraId="1E620F5B" w14:textId="77777777" w:rsidTr="00F53A17">
        <w:tc>
          <w:tcPr>
            <w:tcW w:w="5807" w:type="dxa"/>
            <w:gridSpan w:val="2"/>
          </w:tcPr>
          <w:p w14:paraId="073607DF" w14:textId="77777777" w:rsidR="00F53A17" w:rsidRDefault="00F53A17" w:rsidP="00F53A17">
            <w:pPr>
              <w:spacing w:before="60" w:after="60"/>
              <w:outlineLvl w:val="1"/>
              <w:rPr>
                <w:rFonts w:ascii="Arial" w:eastAsia="Times New Roman" w:hAnsi="Arial" w:cs="Arial"/>
                <w:b/>
                <w:bCs/>
                <w:sz w:val="16"/>
                <w:szCs w:val="16"/>
                <w:lang w:eastAsia="fr-FR"/>
              </w:rPr>
            </w:pPr>
            <w:proofErr w:type="gramStart"/>
            <w:r>
              <w:rPr>
                <w:rFonts w:ascii="Arial" w:eastAsia="Times New Roman" w:hAnsi="Arial" w:cs="Arial"/>
                <w:b/>
                <w:bCs/>
                <w:sz w:val="16"/>
                <w:szCs w:val="16"/>
                <w:lang w:eastAsia="fr-FR"/>
              </w:rPr>
              <w:t>Renouvellement  des</w:t>
            </w:r>
            <w:proofErr w:type="gramEnd"/>
            <w:r>
              <w:rPr>
                <w:rFonts w:ascii="Arial" w:eastAsia="Times New Roman" w:hAnsi="Arial" w:cs="Arial"/>
                <w:b/>
                <w:bCs/>
                <w:sz w:val="16"/>
                <w:szCs w:val="16"/>
                <w:lang w:eastAsia="fr-FR"/>
              </w:rPr>
              <w:t xml:space="preserve"> équipements et travaux courants</w:t>
            </w:r>
          </w:p>
        </w:tc>
        <w:tc>
          <w:tcPr>
            <w:tcW w:w="1276" w:type="dxa"/>
          </w:tcPr>
          <w:p w14:paraId="3ED89C4D" w14:textId="77777777" w:rsidR="00F53A17" w:rsidRPr="00BA2A78" w:rsidRDefault="00F53A17" w:rsidP="00272C13">
            <w:pPr>
              <w:spacing w:before="60" w:after="60"/>
              <w:jc w:val="right"/>
              <w:outlineLvl w:val="1"/>
              <w:rPr>
                <w:rFonts w:ascii="Arial" w:eastAsia="Times New Roman" w:hAnsi="Arial" w:cs="Arial"/>
                <w:b/>
                <w:bCs/>
                <w:sz w:val="16"/>
                <w:szCs w:val="16"/>
                <w:lang w:eastAsia="fr-FR"/>
              </w:rPr>
            </w:pPr>
            <w:r>
              <w:rPr>
                <w:rFonts w:ascii="Arial" w:eastAsia="Times New Roman" w:hAnsi="Arial" w:cs="Arial"/>
                <w:b/>
                <w:bCs/>
                <w:sz w:val="16"/>
                <w:szCs w:val="16"/>
                <w:lang w:eastAsia="fr-FR"/>
              </w:rPr>
              <w:t>1 375</w:t>
            </w:r>
          </w:p>
        </w:tc>
        <w:tc>
          <w:tcPr>
            <w:tcW w:w="1276" w:type="dxa"/>
          </w:tcPr>
          <w:p w14:paraId="16F108D9" w14:textId="77777777" w:rsidR="00F53A17" w:rsidRPr="00BA2A78" w:rsidRDefault="00F53A17" w:rsidP="00272C13">
            <w:pPr>
              <w:spacing w:before="60" w:after="60"/>
              <w:jc w:val="right"/>
              <w:outlineLvl w:val="1"/>
              <w:rPr>
                <w:rFonts w:ascii="Arial" w:eastAsia="Times New Roman" w:hAnsi="Arial" w:cs="Arial"/>
                <w:b/>
                <w:bCs/>
                <w:sz w:val="16"/>
                <w:szCs w:val="16"/>
                <w:lang w:eastAsia="fr-FR"/>
              </w:rPr>
            </w:pPr>
            <w:r>
              <w:rPr>
                <w:rFonts w:ascii="Arial" w:eastAsia="Times New Roman" w:hAnsi="Arial" w:cs="Arial"/>
                <w:b/>
                <w:bCs/>
                <w:sz w:val="16"/>
                <w:szCs w:val="16"/>
                <w:lang w:eastAsia="fr-FR"/>
              </w:rPr>
              <w:t>500</w:t>
            </w:r>
          </w:p>
        </w:tc>
        <w:tc>
          <w:tcPr>
            <w:tcW w:w="1417" w:type="dxa"/>
          </w:tcPr>
          <w:p w14:paraId="37ED1C43" w14:textId="77777777" w:rsidR="00F53A17" w:rsidRPr="00BA2A78" w:rsidRDefault="00F53A17" w:rsidP="00272C13">
            <w:pPr>
              <w:spacing w:before="60" w:after="60"/>
              <w:jc w:val="right"/>
              <w:outlineLvl w:val="1"/>
              <w:rPr>
                <w:rFonts w:ascii="Arial" w:eastAsia="Times New Roman" w:hAnsi="Arial" w:cs="Arial"/>
                <w:b/>
                <w:bCs/>
                <w:sz w:val="16"/>
                <w:szCs w:val="16"/>
                <w:lang w:eastAsia="fr-FR"/>
              </w:rPr>
            </w:pPr>
            <w:r>
              <w:rPr>
                <w:rFonts w:ascii="Arial" w:eastAsia="Times New Roman" w:hAnsi="Arial" w:cs="Arial"/>
                <w:b/>
                <w:bCs/>
                <w:sz w:val="16"/>
                <w:szCs w:val="16"/>
                <w:lang w:eastAsia="fr-FR"/>
              </w:rPr>
              <w:t>800</w:t>
            </w:r>
          </w:p>
        </w:tc>
      </w:tr>
      <w:tr w:rsidR="00F53A17" w:rsidRPr="00BA2A78" w14:paraId="12E5D79F" w14:textId="77777777" w:rsidTr="00F53A17">
        <w:tc>
          <w:tcPr>
            <w:tcW w:w="5807" w:type="dxa"/>
            <w:gridSpan w:val="2"/>
            <w:tcBorders>
              <w:bottom w:val="single" w:sz="4" w:space="0" w:color="000000" w:themeColor="text1"/>
            </w:tcBorders>
          </w:tcPr>
          <w:p w14:paraId="32F3E7CE" w14:textId="77777777" w:rsidR="00F53A17" w:rsidRDefault="00F53A17" w:rsidP="00F53A17">
            <w:pPr>
              <w:spacing w:before="60" w:after="60"/>
              <w:outlineLvl w:val="1"/>
              <w:rPr>
                <w:rFonts w:ascii="Arial" w:eastAsia="Times New Roman" w:hAnsi="Arial" w:cs="Arial"/>
                <w:bCs/>
                <w:sz w:val="16"/>
                <w:szCs w:val="16"/>
                <w:lang w:eastAsia="fr-FR"/>
              </w:rPr>
            </w:pPr>
            <w:r w:rsidRPr="00F53A17">
              <w:rPr>
                <w:rFonts w:ascii="Arial" w:eastAsia="Times New Roman" w:hAnsi="Arial" w:cs="Arial"/>
                <w:b/>
                <w:bCs/>
                <w:sz w:val="16"/>
                <w:szCs w:val="16"/>
                <w:lang w:eastAsia="fr-FR"/>
              </w:rPr>
              <w:t>Rénovation du patrimoine</w:t>
            </w:r>
          </w:p>
        </w:tc>
        <w:tc>
          <w:tcPr>
            <w:tcW w:w="1276" w:type="dxa"/>
            <w:tcBorders>
              <w:bottom w:val="single" w:sz="4" w:space="0" w:color="000000" w:themeColor="text1"/>
            </w:tcBorders>
          </w:tcPr>
          <w:p w14:paraId="5210AA31" w14:textId="77777777" w:rsidR="00F53A17" w:rsidRPr="00F53A17" w:rsidRDefault="00F53A17" w:rsidP="00272C13">
            <w:pPr>
              <w:spacing w:before="60" w:after="60"/>
              <w:jc w:val="right"/>
              <w:outlineLvl w:val="1"/>
              <w:rPr>
                <w:rFonts w:ascii="Arial" w:eastAsia="Times New Roman" w:hAnsi="Arial" w:cs="Arial"/>
                <w:b/>
                <w:bCs/>
                <w:sz w:val="16"/>
                <w:szCs w:val="16"/>
                <w:lang w:eastAsia="fr-FR"/>
              </w:rPr>
            </w:pPr>
            <w:r>
              <w:rPr>
                <w:rFonts w:ascii="Arial" w:eastAsia="Times New Roman" w:hAnsi="Arial" w:cs="Arial"/>
                <w:b/>
                <w:bCs/>
                <w:sz w:val="16"/>
                <w:szCs w:val="16"/>
                <w:lang w:eastAsia="fr-FR"/>
              </w:rPr>
              <w:t>1 34</w:t>
            </w:r>
            <w:r w:rsidRPr="00F53A17">
              <w:rPr>
                <w:rFonts w:ascii="Arial" w:eastAsia="Times New Roman" w:hAnsi="Arial" w:cs="Arial"/>
                <w:b/>
                <w:bCs/>
                <w:sz w:val="16"/>
                <w:szCs w:val="16"/>
                <w:lang w:eastAsia="fr-FR"/>
              </w:rPr>
              <w:t>5</w:t>
            </w:r>
          </w:p>
        </w:tc>
        <w:tc>
          <w:tcPr>
            <w:tcW w:w="1276" w:type="dxa"/>
            <w:tcBorders>
              <w:bottom w:val="single" w:sz="4" w:space="0" w:color="000000" w:themeColor="text1"/>
            </w:tcBorders>
          </w:tcPr>
          <w:p w14:paraId="645E0A44" w14:textId="77777777" w:rsidR="00F53A17" w:rsidRPr="00F53A17" w:rsidRDefault="00F53A17" w:rsidP="00F53A17">
            <w:pPr>
              <w:spacing w:before="60" w:after="60"/>
              <w:jc w:val="right"/>
              <w:outlineLvl w:val="1"/>
              <w:rPr>
                <w:rFonts w:ascii="Arial" w:eastAsia="Times New Roman" w:hAnsi="Arial" w:cs="Arial"/>
                <w:b/>
                <w:bCs/>
                <w:sz w:val="16"/>
                <w:szCs w:val="16"/>
                <w:lang w:eastAsia="fr-FR"/>
              </w:rPr>
            </w:pPr>
            <w:r>
              <w:rPr>
                <w:rFonts w:ascii="Arial" w:eastAsia="Times New Roman" w:hAnsi="Arial" w:cs="Arial"/>
                <w:b/>
                <w:bCs/>
                <w:sz w:val="16"/>
                <w:szCs w:val="16"/>
                <w:lang w:eastAsia="fr-FR"/>
              </w:rPr>
              <w:t>1 314</w:t>
            </w:r>
          </w:p>
        </w:tc>
        <w:tc>
          <w:tcPr>
            <w:tcW w:w="1417" w:type="dxa"/>
            <w:tcBorders>
              <w:bottom w:val="single" w:sz="4" w:space="0" w:color="000000" w:themeColor="text1"/>
            </w:tcBorders>
          </w:tcPr>
          <w:p w14:paraId="06BCC533" w14:textId="77777777" w:rsidR="00F53A17" w:rsidRPr="00F53A17" w:rsidRDefault="00F53A17" w:rsidP="00272C13">
            <w:pPr>
              <w:spacing w:before="60" w:after="60"/>
              <w:jc w:val="right"/>
              <w:outlineLvl w:val="1"/>
              <w:rPr>
                <w:rFonts w:ascii="Arial" w:eastAsia="Times New Roman" w:hAnsi="Arial" w:cs="Arial"/>
                <w:b/>
                <w:bCs/>
                <w:sz w:val="16"/>
                <w:szCs w:val="16"/>
                <w:lang w:eastAsia="fr-FR"/>
              </w:rPr>
            </w:pPr>
            <w:r>
              <w:rPr>
                <w:rFonts w:ascii="Arial" w:eastAsia="Times New Roman" w:hAnsi="Arial" w:cs="Arial"/>
                <w:b/>
                <w:bCs/>
                <w:sz w:val="16"/>
                <w:szCs w:val="16"/>
                <w:lang w:eastAsia="fr-FR"/>
              </w:rPr>
              <w:t>613</w:t>
            </w:r>
          </w:p>
        </w:tc>
      </w:tr>
      <w:tr w:rsidR="00F53A17" w:rsidRPr="00BA2A78" w14:paraId="20515562" w14:textId="77777777" w:rsidTr="00F53A17">
        <w:tc>
          <w:tcPr>
            <w:tcW w:w="675" w:type="dxa"/>
            <w:tcBorders>
              <w:bottom w:val="nil"/>
              <w:right w:val="nil"/>
            </w:tcBorders>
          </w:tcPr>
          <w:p w14:paraId="168DBB0B" w14:textId="77777777" w:rsidR="00F53A17" w:rsidRPr="00BA2A78" w:rsidRDefault="00F53A17" w:rsidP="00272C13">
            <w:pPr>
              <w:spacing w:before="60" w:after="60"/>
              <w:outlineLvl w:val="1"/>
              <w:rPr>
                <w:rFonts w:ascii="Arial" w:eastAsia="Times New Roman" w:hAnsi="Arial" w:cs="Arial"/>
                <w:bCs/>
                <w:sz w:val="16"/>
                <w:szCs w:val="16"/>
                <w:lang w:eastAsia="fr-FR"/>
              </w:rPr>
            </w:pPr>
            <w:proofErr w:type="gramStart"/>
            <w:r>
              <w:rPr>
                <w:rFonts w:ascii="Arial" w:eastAsia="Times New Roman" w:hAnsi="Arial" w:cs="Arial"/>
                <w:bCs/>
                <w:sz w:val="16"/>
                <w:szCs w:val="16"/>
                <w:lang w:eastAsia="fr-FR"/>
              </w:rPr>
              <w:t>dont</w:t>
            </w:r>
            <w:proofErr w:type="gramEnd"/>
          </w:p>
        </w:tc>
        <w:tc>
          <w:tcPr>
            <w:tcW w:w="5132" w:type="dxa"/>
            <w:tcBorders>
              <w:left w:val="nil"/>
              <w:bottom w:val="nil"/>
            </w:tcBorders>
          </w:tcPr>
          <w:p w14:paraId="564D4506" w14:textId="77777777" w:rsidR="00F53A17" w:rsidRDefault="00F53A17" w:rsidP="00F53A17">
            <w:pPr>
              <w:spacing w:before="60" w:after="60"/>
              <w:outlineLvl w:val="1"/>
              <w:rPr>
                <w:rFonts w:ascii="Arial" w:eastAsia="Times New Roman" w:hAnsi="Arial" w:cs="Arial"/>
                <w:bCs/>
                <w:sz w:val="16"/>
                <w:szCs w:val="16"/>
                <w:lang w:eastAsia="fr-FR"/>
              </w:rPr>
            </w:pPr>
            <w:r>
              <w:rPr>
                <w:rFonts w:ascii="Arial" w:eastAsia="Times New Roman" w:hAnsi="Arial" w:cs="Arial"/>
                <w:bCs/>
                <w:sz w:val="16"/>
                <w:szCs w:val="16"/>
                <w:lang w:eastAsia="fr-FR"/>
              </w:rPr>
              <w:t>Ecoles maternelles, élémentaires et restauration scolaire</w:t>
            </w:r>
          </w:p>
        </w:tc>
        <w:tc>
          <w:tcPr>
            <w:tcW w:w="1276" w:type="dxa"/>
            <w:tcBorders>
              <w:bottom w:val="nil"/>
            </w:tcBorders>
          </w:tcPr>
          <w:p w14:paraId="6D5DE193" w14:textId="77777777" w:rsidR="00F53A17" w:rsidRPr="00BA2A78" w:rsidRDefault="00F53A17"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289</w:t>
            </w:r>
          </w:p>
        </w:tc>
        <w:tc>
          <w:tcPr>
            <w:tcW w:w="1276" w:type="dxa"/>
            <w:tcBorders>
              <w:bottom w:val="nil"/>
            </w:tcBorders>
          </w:tcPr>
          <w:p w14:paraId="45A3C1E8" w14:textId="77777777" w:rsidR="00F53A17" w:rsidRPr="00BA2A78" w:rsidRDefault="00F53A17"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210</w:t>
            </w:r>
          </w:p>
        </w:tc>
        <w:tc>
          <w:tcPr>
            <w:tcW w:w="1417" w:type="dxa"/>
            <w:tcBorders>
              <w:bottom w:val="nil"/>
            </w:tcBorders>
          </w:tcPr>
          <w:p w14:paraId="3652C4B6" w14:textId="77777777" w:rsidR="00F53A17" w:rsidRPr="00BA2A78" w:rsidRDefault="00F53A17"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160</w:t>
            </w:r>
          </w:p>
        </w:tc>
      </w:tr>
      <w:tr w:rsidR="00F53A17" w:rsidRPr="00BA2A78" w14:paraId="64D44DD8" w14:textId="77777777" w:rsidTr="00F53A17">
        <w:tc>
          <w:tcPr>
            <w:tcW w:w="675" w:type="dxa"/>
            <w:tcBorders>
              <w:top w:val="nil"/>
              <w:bottom w:val="nil"/>
              <w:right w:val="nil"/>
            </w:tcBorders>
          </w:tcPr>
          <w:p w14:paraId="6B454D37" w14:textId="77777777" w:rsidR="00F53A17" w:rsidRPr="00BA2A78" w:rsidRDefault="00F53A17" w:rsidP="00272C13">
            <w:pPr>
              <w:spacing w:before="60" w:after="60"/>
              <w:outlineLvl w:val="1"/>
              <w:rPr>
                <w:rFonts w:ascii="Arial" w:eastAsia="Times New Roman" w:hAnsi="Arial" w:cs="Arial"/>
                <w:bCs/>
                <w:sz w:val="16"/>
                <w:szCs w:val="16"/>
                <w:lang w:eastAsia="fr-FR"/>
              </w:rPr>
            </w:pPr>
          </w:p>
        </w:tc>
        <w:tc>
          <w:tcPr>
            <w:tcW w:w="5132" w:type="dxa"/>
            <w:tcBorders>
              <w:top w:val="nil"/>
              <w:left w:val="nil"/>
              <w:bottom w:val="nil"/>
            </w:tcBorders>
          </w:tcPr>
          <w:p w14:paraId="5CB03529" w14:textId="77777777" w:rsidR="00F53A17" w:rsidRDefault="00F53A17" w:rsidP="00F53A17">
            <w:pPr>
              <w:spacing w:before="60" w:after="60"/>
              <w:outlineLvl w:val="1"/>
              <w:rPr>
                <w:rFonts w:ascii="Arial" w:eastAsia="Times New Roman" w:hAnsi="Arial" w:cs="Arial"/>
                <w:bCs/>
                <w:sz w:val="16"/>
                <w:szCs w:val="16"/>
                <w:lang w:eastAsia="fr-FR"/>
              </w:rPr>
            </w:pPr>
            <w:r>
              <w:rPr>
                <w:rFonts w:ascii="Arial" w:eastAsia="Times New Roman" w:hAnsi="Arial" w:cs="Arial"/>
                <w:bCs/>
                <w:sz w:val="16"/>
                <w:szCs w:val="16"/>
                <w:lang w:eastAsia="fr-FR"/>
              </w:rPr>
              <w:t>Bibliothèque</w:t>
            </w:r>
          </w:p>
        </w:tc>
        <w:tc>
          <w:tcPr>
            <w:tcW w:w="1276" w:type="dxa"/>
            <w:tcBorders>
              <w:top w:val="nil"/>
              <w:bottom w:val="nil"/>
            </w:tcBorders>
          </w:tcPr>
          <w:p w14:paraId="6EF43B3C" w14:textId="77777777" w:rsidR="00F53A17" w:rsidRPr="00BA2A78" w:rsidRDefault="00F53A17"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236</w:t>
            </w:r>
          </w:p>
        </w:tc>
        <w:tc>
          <w:tcPr>
            <w:tcW w:w="1276" w:type="dxa"/>
            <w:tcBorders>
              <w:top w:val="nil"/>
              <w:bottom w:val="nil"/>
            </w:tcBorders>
          </w:tcPr>
          <w:p w14:paraId="2A9168BB" w14:textId="77777777" w:rsidR="00F53A17" w:rsidRPr="00BA2A78" w:rsidRDefault="00F53A17"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63</w:t>
            </w:r>
          </w:p>
        </w:tc>
        <w:tc>
          <w:tcPr>
            <w:tcW w:w="1417" w:type="dxa"/>
            <w:tcBorders>
              <w:top w:val="nil"/>
              <w:bottom w:val="nil"/>
            </w:tcBorders>
          </w:tcPr>
          <w:p w14:paraId="276B9232" w14:textId="77777777" w:rsidR="00F53A17" w:rsidRPr="00BA2A78" w:rsidRDefault="00F53A17"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50</w:t>
            </w:r>
          </w:p>
        </w:tc>
      </w:tr>
      <w:tr w:rsidR="00F53A17" w:rsidRPr="00BA2A78" w14:paraId="75E880CB" w14:textId="77777777" w:rsidTr="00F53A17">
        <w:tc>
          <w:tcPr>
            <w:tcW w:w="675" w:type="dxa"/>
            <w:tcBorders>
              <w:top w:val="nil"/>
              <w:right w:val="nil"/>
            </w:tcBorders>
          </w:tcPr>
          <w:p w14:paraId="3FBB54D3" w14:textId="77777777" w:rsidR="00F53A17" w:rsidRPr="00BA2A78" w:rsidRDefault="00F53A17" w:rsidP="00272C13">
            <w:pPr>
              <w:spacing w:before="60" w:after="60"/>
              <w:outlineLvl w:val="1"/>
              <w:rPr>
                <w:rFonts w:ascii="Arial" w:eastAsia="Times New Roman" w:hAnsi="Arial" w:cs="Arial"/>
                <w:bCs/>
                <w:sz w:val="16"/>
                <w:szCs w:val="16"/>
                <w:lang w:eastAsia="fr-FR"/>
              </w:rPr>
            </w:pPr>
          </w:p>
        </w:tc>
        <w:tc>
          <w:tcPr>
            <w:tcW w:w="5132" w:type="dxa"/>
            <w:tcBorders>
              <w:top w:val="nil"/>
              <w:left w:val="nil"/>
            </w:tcBorders>
          </w:tcPr>
          <w:p w14:paraId="10B1F813" w14:textId="77777777" w:rsidR="00F53A17" w:rsidRDefault="00F53A17" w:rsidP="00F53A17">
            <w:pPr>
              <w:spacing w:before="60" w:after="60"/>
              <w:outlineLvl w:val="1"/>
              <w:rPr>
                <w:rFonts w:ascii="Arial" w:eastAsia="Times New Roman" w:hAnsi="Arial" w:cs="Arial"/>
                <w:bCs/>
                <w:sz w:val="16"/>
                <w:szCs w:val="16"/>
                <w:lang w:eastAsia="fr-FR"/>
              </w:rPr>
            </w:pPr>
            <w:r>
              <w:rPr>
                <w:rFonts w:ascii="Arial" w:eastAsia="Times New Roman" w:hAnsi="Arial" w:cs="Arial"/>
                <w:bCs/>
                <w:sz w:val="16"/>
                <w:szCs w:val="16"/>
                <w:lang w:eastAsia="fr-FR"/>
              </w:rPr>
              <w:t>Salles de sports, gymnases</w:t>
            </w:r>
          </w:p>
        </w:tc>
        <w:tc>
          <w:tcPr>
            <w:tcW w:w="1276" w:type="dxa"/>
            <w:tcBorders>
              <w:top w:val="nil"/>
            </w:tcBorders>
          </w:tcPr>
          <w:p w14:paraId="1686A714" w14:textId="77777777" w:rsidR="00F53A17" w:rsidRPr="00BA2A78" w:rsidRDefault="00F53A17"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313</w:t>
            </w:r>
          </w:p>
        </w:tc>
        <w:tc>
          <w:tcPr>
            <w:tcW w:w="1276" w:type="dxa"/>
            <w:tcBorders>
              <w:top w:val="nil"/>
            </w:tcBorders>
          </w:tcPr>
          <w:p w14:paraId="46C46A41" w14:textId="77777777" w:rsidR="00F53A17" w:rsidRPr="00BA2A78" w:rsidRDefault="00F53A17"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517</w:t>
            </w:r>
          </w:p>
        </w:tc>
        <w:tc>
          <w:tcPr>
            <w:tcW w:w="1417" w:type="dxa"/>
            <w:tcBorders>
              <w:top w:val="nil"/>
            </w:tcBorders>
          </w:tcPr>
          <w:p w14:paraId="782D1E18" w14:textId="77777777" w:rsidR="00F53A17" w:rsidRPr="00BA2A78" w:rsidRDefault="00F53A17"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190</w:t>
            </w:r>
          </w:p>
        </w:tc>
      </w:tr>
      <w:tr w:rsidR="00F53A17" w:rsidRPr="00F53A17" w14:paraId="76C6083E" w14:textId="77777777" w:rsidTr="00D20234">
        <w:tc>
          <w:tcPr>
            <w:tcW w:w="5807" w:type="dxa"/>
            <w:gridSpan w:val="2"/>
            <w:tcBorders>
              <w:bottom w:val="single" w:sz="4" w:space="0" w:color="000000" w:themeColor="text1"/>
            </w:tcBorders>
          </w:tcPr>
          <w:p w14:paraId="73A1D22C" w14:textId="77777777" w:rsidR="00F53A17" w:rsidRPr="00F53A17" w:rsidRDefault="00F53A17" w:rsidP="00F53A17">
            <w:pPr>
              <w:spacing w:before="60" w:after="60"/>
              <w:outlineLvl w:val="1"/>
              <w:rPr>
                <w:rFonts w:ascii="Arial" w:eastAsia="Times New Roman" w:hAnsi="Arial" w:cs="Arial"/>
                <w:b/>
                <w:bCs/>
                <w:sz w:val="16"/>
                <w:szCs w:val="16"/>
                <w:lang w:eastAsia="fr-FR"/>
              </w:rPr>
            </w:pPr>
            <w:r w:rsidRPr="00F53A17">
              <w:rPr>
                <w:rFonts w:ascii="Arial" w:eastAsia="Times New Roman" w:hAnsi="Arial" w:cs="Arial"/>
                <w:b/>
                <w:bCs/>
                <w:sz w:val="16"/>
                <w:szCs w:val="16"/>
                <w:lang w:eastAsia="fr-FR"/>
              </w:rPr>
              <w:t>Transition écologique</w:t>
            </w:r>
          </w:p>
        </w:tc>
        <w:tc>
          <w:tcPr>
            <w:tcW w:w="1276" w:type="dxa"/>
            <w:tcBorders>
              <w:bottom w:val="single" w:sz="4" w:space="0" w:color="000000" w:themeColor="text1"/>
            </w:tcBorders>
          </w:tcPr>
          <w:p w14:paraId="2208C784" w14:textId="77777777" w:rsidR="00F53A17" w:rsidRPr="00F53A17" w:rsidRDefault="00F53A17" w:rsidP="00272C13">
            <w:pPr>
              <w:spacing w:before="60" w:after="60"/>
              <w:jc w:val="right"/>
              <w:outlineLvl w:val="1"/>
              <w:rPr>
                <w:rFonts w:ascii="Arial" w:eastAsia="Times New Roman" w:hAnsi="Arial" w:cs="Arial"/>
                <w:b/>
                <w:bCs/>
                <w:sz w:val="16"/>
                <w:szCs w:val="16"/>
                <w:lang w:eastAsia="fr-FR"/>
              </w:rPr>
            </w:pPr>
            <w:r>
              <w:rPr>
                <w:rFonts w:ascii="Arial" w:eastAsia="Times New Roman" w:hAnsi="Arial" w:cs="Arial"/>
                <w:b/>
                <w:bCs/>
                <w:sz w:val="16"/>
                <w:szCs w:val="16"/>
                <w:lang w:eastAsia="fr-FR"/>
              </w:rPr>
              <w:t>2 174</w:t>
            </w:r>
          </w:p>
        </w:tc>
        <w:tc>
          <w:tcPr>
            <w:tcW w:w="1276" w:type="dxa"/>
            <w:tcBorders>
              <w:bottom w:val="single" w:sz="4" w:space="0" w:color="000000" w:themeColor="text1"/>
            </w:tcBorders>
          </w:tcPr>
          <w:p w14:paraId="45DACB39" w14:textId="77777777" w:rsidR="00F53A17" w:rsidRPr="00F53A17" w:rsidRDefault="00F53A17" w:rsidP="00272C13">
            <w:pPr>
              <w:spacing w:before="60" w:after="60"/>
              <w:jc w:val="right"/>
              <w:outlineLvl w:val="1"/>
              <w:rPr>
                <w:rFonts w:ascii="Arial" w:eastAsia="Times New Roman" w:hAnsi="Arial" w:cs="Arial"/>
                <w:b/>
                <w:bCs/>
                <w:sz w:val="16"/>
                <w:szCs w:val="16"/>
                <w:lang w:eastAsia="fr-FR"/>
              </w:rPr>
            </w:pPr>
            <w:r>
              <w:rPr>
                <w:rFonts w:ascii="Arial" w:eastAsia="Times New Roman" w:hAnsi="Arial" w:cs="Arial"/>
                <w:b/>
                <w:bCs/>
                <w:sz w:val="16"/>
                <w:szCs w:val="16"/>
                <w:lang w:eastAsia="fr-FR"/>
              </w:rPr>
              <w:t>1 069</w:t>
            </w:r>
          </w:p>
        </w:tc>
        <w:tc>
          <w:tcPr>
            <w:tcW w:w="1417" w:type="dxa"/>
            <w:tcBorders>
              <w:bottom w:val="single" w:sz="4" w:space="0" w:color="000000" w:themeColor="text1"/>
            </w:tcBorders>
          </w:tcPr>
          <w:p w14:paraId="75B3335A" w14:textId="77777777" w:rsidR="00F53A17" w:rsidRPr="00F53A17" w:rsidRDefault="00F53A17" w:rsidP="00272C13">
            <w:pPr>
              <w:spacing w:before="60" w:after="60"/>
              <w:jc w:val="right"/>
              <w:outlineLvl w:val="1"/>
              <w:rPr>
                <w:rFonts w:ascii="Arial" w:eastAsia="Times New Roman" w:hAnsi="Arial" w:cs="Arial"/>
                <w:b/>
                <w:bCs/>
                <w:sz w:val="16"/>
                <w:szCs w:val="16"/>
                <w:lang w:eastAsia="fr-FR"/>
              </w:rPr>
            </w:pPr>
            <w:r>
              <w:rPr>
                <w:rFonts w:ascii="Arial" w:eastAsia="Times New Roman" w:hAnsi="Arial" w:cs="Arial"/>
                <w:b/>
                <w:bCs/>
                <w:sz w:val="16"/>
                <w:szCs w:val="16"/>
                <w:lang w:eastAsia="fr-FR"/>
              </w:rPr>
              <w:t>465</w:t>
            </w:r>
          </w:p>
        </w:tc>
      </w:tr>
      <w:tr w:rsidR="00F53A17" w:rsidRPr="00BA2A78" w14:paraId="288CECF1" w14:textId="77777777" w:rsidTr="00D20234">
        <w:tc>
          <w:tcPr>
            <w:tcW w:w="675" w:type="dxa"/>
            <w:tcBorders>
              <w:bottom w:val="nil"/>
              <w:right w:val="nil"/>
            </w:tcBorders>
          </w:tcPr>
          <w:p w14:paraId="263718CD" w14:textId="77777777" w:rsidR="00F53A17" w:rsidRPr="00BA2A78" w:rsidRDefault="00CE2DBC" w:rsidP="00272C13">
            <w:pPr>
              <w:spacing w:before="60" w:after="60"/>
              <w:outlineLvl w:val="1"/>
              <w:rPr>
                <w:rFonts w:ascii="Arial" w:eastAsia="Times New Roman" w:hAnsi="Arial" w:cs="Arial"/>
                <w:bCs/>
                <w:sz w:val="16"/>
                <w:szCs w:val="16"/>
                <w:lang w:eastAsia="fr-FR"/>
              </w:rPr>
            </w:pPr>
            <w:proofErr w:type="gramStart"/>
            <w:r>
              <w:rPr>
                <w:rFonts w:ascii="Arial" w:eastAsia="Times New Roman" w:hAnsi="Arial" w:cs="Arial"/>
                <w:bCs/>
                <w:sz w:val="16"/>
                <w:szCs w:val="16"/>
                <w:lang w:eastAsia="fr-FR"/>
              </w:rPr>
              <w:t>dont</w:t>
            </w:r>
            <w:proofErr w:type="gramEnd"/>
          </w:p>
        </w:tc>
        <w:tc>
          <w:tcPr>
            <w:tcW w:w="5132" w:type="dxa"/>
            <w:tcBorders>
              <w:left w:val="nil"/>
              <w:bottom w:val="nil"/>
            </w:tcBorders>
          </w:tcPr>
          <w:p w14:paraId="2ABF4811" w14:textId="77777777" w:rsidR="00F53A17" w:rsidRDefault="002D68A8" w:rsidP="002D68A8">
            <w:pPr>
              <w:spacing w:before="60" w:after="60"/>
              <w:outlineLvl w:val="1"/>
              <w:rPr>
                <w:rFonts w:ascii="Arial" w:eastAsia="Times New Roman" w:hAnsi="Arial" w:cs="Arial"/>
                <w:bCs/>
                <w:sz w:val="16"/>
                <w:szCs w:val="16"/>
                <w:lang w:eastAsia="fr-FR"/>
              </w:rPr>
            </w:pPr>
            <w:r>
              <w:rPr>
                <w:rFonts w:ascii="Arial" w:eastAsia="Times New Roman" w:hAnsi="Arial" w:cs="Arial"/>
                <w:bCs/>
                <w:sz w:val="16"/>
                <w:szCs w:val="16"/>
                <w:lang w:eastAsia="fr-FR"/>
              </w:rPr>
              <w:t>Isolation et remplacement menuiseries Centre technique municipal</w:t>
            </w:r>
          </w:p>
        </w:tc>
        <w:tc>
          <w:tcPr>
            <w:tcW w:w="1276" w:type="dxa"/>
            <w:tcBorders>
              <w:bottom w:val="nil"/>
            </w:tcBorders>
          </w:tcPr>
          <w:p w14:paraId="073C749E" w14:textId="77777777" w:rsidR="00F53A17" w:rsidRPr="00BA2A78" w:rsidRDefault="00E943B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538</w:t>
            </w:r>
          </w:p>
        </w:tc>
        <w:tc>
          <w:tcPr>
            <w:tcW w:w="1276" w:type="dxa"/>
            <w:tcBorders>
              <w:bottom w:val="nil"/>
            </w:tcBorders>
          </w:tcPr>
          <w:p w14:paraId="35528CF8" w14:textId="77777777" w:rsidR="00F53A17" w:rsidRPr="00BA2A78" w:rsidRDefault="00E943B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605</w:t>
            </w:r>
          </w:p>
        </w:tc>
        <w:tc>
          <w:tcPr>
            <w:tcW w:w="1417" w:type="dxa"/>
            <w:tcBorders>
              <w:bottom w:val="nil"/>
            </w:tcBorders>
          </w:tcPr>
          <w:p w14:paraId="3AF6C915" w14:textId="77777777" w:rsidR="00F53A17" w:rsidRPr="00BA2A78" w:rsidRDefault="00F53A17" w:rsidP="00272C13">
            <w:pPr>
              <w:spacing w:before="60" w:after="60"/>
              <w:jc w:val="right"/>
              <w:outlineLvl w:val="1"/>
              <w:rPr>
                <w:rFonts w:ascii="Arial" w:eastAsia="Times New Roman" w:hAnsi="Arial" w:cs="Arial"/>
                <w:bCs/>
                <w:sz w:val="16"/>
                <w:szCs w:val="16"/>
                <w:lang w:eastAsia="fr-FR"/>
              </w:rPr>
            </w:pPr>
          </w:p>
        </w:tc>
      </w:tr>
      <w:tr w:rsidR="00F53A17" w:rsidRPr="00BA2A78" w14:paraId="301E4777" w14:textId="77777777" w:rsidTr="00D20234">
        <w:tc>
          <w:tcPr>
            <w:tcW w:w="675" w:type="dxa"/>
            <w:tcBorders>
              <w:top w:val="nil"/>
              <w:bottom w:val="nil"/>
              <w:right w:val="nil"/>
            </w:tcBorders>
          </w:tcPr>
          <w:p w14:paraId="416AA9E0" w14:textId="77777777" w:rsidR="00F53A17" w:rsidRPr="00BA2A78" w:rsidRDefault="00F53A17" w:rsidP="003B3AED">
            <w:pPr>
              <w:spacing w:before="60" w:after="60"/>
              <w:outlineLvl w:val="1"/>
              <w:rPr>
                <w:rFonts w:ascii="Arial" w:eastAsia="Times New Roman" w:hAnsi="Arial" w:cs="Arial"/>
                <w:bCs/>
                <w:sz w:val="16"/>
                <w:szCs w:val="16"/>
                <w:lang w:eastAsia="fr-FR"/>
              </w:rPr>
            </w:pPr>
          </w:p>
        </w:tc>
        <w:tc>
          <w:tcPr>
            <w:tcW w:w="5132" w:type="dxa"/>
            <w:tcBorders>
              <w:top w:val="nil"/>
              <w:left w:val="nil"/>
              <w:bottom w:val="nil"/>
            </w:tcBorders>
          </w:tcPr>
          <w:p w14:paraId="3403C56D" w14:textId="77777777" w:rsidR="00F53A17" w:rsidRDefault="002D68A8" w:rsidP="002D68A8">
            <w:pPr>
              <w:spacing w:before="60" w:after="60"/>
              <w:outlineLvl w:val="1"/>
              <w:rPr>
                <w:rFonts w:ascii="Arial" w:eastAsia="Times New Roman" w:hAnsi="Arial" w:cs="Arial"/>
                <w:bCs/>
                <w:sz w:val="16"/>
                <w:szCs w:val="16"/>
                <w:lang w:eastAsia="fr-FR"/>
              </w:rPr>
            </w:pPr>
            <w:r>
              <w:rPr>
                <w:rFonts w:ascii="Arial" w:eastAsia="Times New Roman" w:hAnsi="Arial" w:cs="Arial"/>
                <w:bCs/>
                <w:sz w:val="16"/>
                <w:szCs w:val="16"/>
                <w:lang w:eastAsia="fr-FR"/>
              </w:rPr>
              <w:t>Isolation et remplacement de menuiseries Hôtel de ville</w:t>
            </w:r>
          </w:p>
        </w:tc>
        <w:tc>
          <w:tcPr>
            <w:tcW w:w="1276" w:type="dxa"/>
            <w:tcBorders>
              <w:top w:val="nil"/>
              <w:bottom w:val="nil"/>
            </w:tcBorders>
          </w:tcPr>
          <w:p w14:paraId="0FB9B247" w14:textId="77777777" w:rsidR="00F53A17" w:rsidRDefault="00E943B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150</w:t>
            </w:r>
          </w:p>
        </w:tc>
        <w:tc>
          <w:tcPr>
            <w:tcW w:w="1276" w:type="dxa"/>
            <w:tcBorders>
              <w:top w:val="nil"/>
              <w:bottom w:val="nil"/>
            </w:tcBorders>
          </w:tcPr>
          <w:p w14:paraId="61F912CD" w14:textId="77777777" w:rsidR="00F53A17" w:rsidRPr="00BA2A78" w:rsidRDefault="00F53A17" w:rsidP="00272C13">
            <w:pPr>
              <w:spacing w:before="60" w:after="60"/>
              <w:jc w:val="right"/>
              <w:outlineLvl w:val="1"/>
              <w:rPr>
                <w:rFonts w:ascii="Arial" w:eastAsia="Times New Roman" w:hAnsi="Arial" w:cs="Arial"/>
                <w:bCs/>
                <w:sz w:val="16"/>
                <w:szCs w:val="16"/>
                <w:lang w:eastAsia="fr-FR"/>
              </w:rPr>
            </w:pPr>
          </w:p>
        </w:tc>
        <w:tc>
          <w:tcPr>
            <w:tcW w:w="1417" w:type="dxa"/>
            <w:tcBorders>
              <w:top w:val="nil"/>
              <w:bottom w:val="nil"/>
            </w:tcBorders>
          </w:tcPr>
          <w:p w14:paraId="2B53277A" w14:textId="77777777" w:rsidR="00F53A17" w:rsidRPr="00BA2A78" w:rsidRDefault="00E943B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40</w:t>
            </w:r>
          </w:p>
        </w:tc>
      </w:tr>
      <w:tr w:rsidR="002D68A8" w:rsidRPr="00BA2A78" w14:paraId="35A0B562" w14:textId="77777777" w:rsidTr="00D20234">
        <w:tc>
          <w:tcPr>
            <w:tcW w:w="675" w:type="dxa"/>
            <w:tcBorders>
              <w:top w:val="nil"/>
              <w:bottom w:val="nil"/>
              <w:right w:val="nil"/>
            </w:tcBorders>
          </w:tcPr>
          <w:p w14:paraId="14A87966" w14:textId="77777777" w:rsidR="002D68A8" w:rsidRPr="00BA2A78" w:rsidRDefault="002D68A8" w:rsidP="003B3AED">
            <w:pPr>
              <w:spacing w:before="60" w:after="60"/>
              <w:outlineLvl w:val="1"/>
              <w:rPr>
                <w:rFonts w:ascii="Arial" w:eastAsia="Times New Roman" w:hAnsi="Arial" w:cs="Arial"/>
                <w:bCs/>
                <w:sz w:val="16"/>
                <w:szCs w:val="16"/>
                <w:lang w:eastAsia="fr-FR"/>
              </w:rPr>
            </w:pPr>
          </w:p>
        </w:tc>
        <w:tc>
          <w:tcPr>
            <w:tcW w:w="5132" w:type="dxa"/>
            <w:tcBorders>
              <w:top w:val="nil"/>
              <w:left w:val="nil"/>
              <w:bottom w:val="nil"/>
            </w:tcBorders>
          </w:tcPr>
          <w:p w14:paraId="1E45F761" w14:textId="77777777" w:rsidR="002D68A8" w:rsidRDefault="002D68A8" w:rsidP="002D68A8">
            <w:pPr>
              <w:spacing w:before="60" w:after="60"/>
              <w:outlineLvl w:val="1"/>
              <w:rPr>
                <w:rFonts w:ascii="Arial" w:eastAsia="Times New Roman" w:hAnsi="Arial" w:cs="Arial"/>
                <w:bCs/>
                <w:sz w:val="16"/>
                <w:szCs w:val="16"/>
                <w:lang w:eastAsia="fr-FR"/>
              </w:rPr>
            </w:pPr>
            <w:r>
              <w:rPr>
                <w:rFonts w:ascii="Arial" w:eastAsia="Times New Roman" w:hAnsi="Arial" w:cs="Arial"/>
                <w:bCs/>
                <w:sz w:val="16"/>
                <w:szCs w:val="16"/>
                <w:lang w:eastAsia="fr-FR"/>
              </w:rPr>
              <w:t>Isolation toiture, réseau de chauffage et toilettes gymnase de la Paix</w:t>
            </w:r>
          </w:p>
        </w:tc>
        <w:tc>
          <w:tcPr>
            <w:tcW w:w="1276" w:type="dxa"/>
            <w:tcBorders>
              <w:top w:val="nil"/>
              <w:bottom w:val="nil"/>
            </w:tcBorders>
          </w:tcPr>
          <w:p w14:paraId="7D2FF5FD" w14:textId="77777777" w:rsidR="002D68A8" w:rsidRPr="00BA2A78" w:rsidRDefault="00E943B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505</w:t>
            </w:r>
          </w:p>
        </w:tc>
        <w:tc>
          <w:tcPr>
            <w:tcW w:w="1276" w:type="dxa"/>
            <w:tcBorders>
              <w:top w:val="nil"/>
              <w:bottom w:val="nil"/>
            </w:tcBorders>
          </w:tcPr>
          <w:p w14:paraId="33FCDC21" w14:textId="77777777" w:rsidR="002D68A8" w:rsidRPr="00BA2A78" w:rsidRDefault="00E943B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43</w:t>
            </w:r>
          </w:p>
        </w:tc>
        <w:tc>
          <w:tcPr>
            <w:tcW w:w="1417" w:type="dxa"/>
            <w:tcBorders>
              <w:top w:val="nil"/>
              <w:bottom w:val="nil"/>
            </w:tcBorders>
          </w:tcPr>
          <w:p w14:paraId="0695A327" w14:textId="77777777" w:rsidR="002D68A8" w:rsidRPr="00BA2A78" w:rsidRDefault="00E943B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300</w:t>
            </w:r>
          </w:p>
        </w:tc>
      </w:tr>
      <w:tr w:rsidR="00F53A17" w:rsidRPr="00BA2A78" w14:paraId="090C3F06" w14:textId="77777777" w:rsidTr="00D20234">
        <w:tc>
          <w:tcPr>
            <w:tcW w:w="675" w:type="dxa"/>
            <w:tcBorders>
              <w:top w:val="nil"/>
              <w:bottom w:val="nil"/>
              <w:right w:val="nil"/>
            </w:tcBorders>
          </w:tcPr>
          <w:p w14:paraId="715B3C80" w14:textId="77777777" w:rsidR="00F53A17" w:rsidRPr="00BA2A78" w:rsidRDefault="00F53A17" w:rsidP="003B3AED">
            <w:pPr>
              <w:spacing w:before="60" w:after="60"/>
              <w:outlineLvl w:val="1"/>
              <w:rPr>
                <w:rFonts w:ascii="Arial" w:eastAsia="Times New Roman" w:hAnsi="Arial" w:cs="Arial"/>
                <w:bCs/>
                <w:sz w:val="16"/>
                <w:szCs w:val="16"/>
                <w:lang w:eastAsia="fr-FR"/>
              </w:rPr>
            </w:pPr>
          </w:p>
        </w:tc>
        <w:tc>
          <w:tcPr>
            <w:tcW w:w="5132" w:type="dxa"/>
            <w:tcBorders>
              <w:top w:val="nil"/>
              <w:left w:val="nil"/>
              <w:bottom w:val="nil"/>
            </w:tcBorders>
          </w:tcPr>
          <w:p w14:paraId="542CFAC7" w14:textId="77777777" w:rsidR="00F53A17" w:rsidRDefault="002D68A8" w:rsidP="002D68A8">
            <w:pPr>
              <w:spacing w:before="60" w:after="60"/>
              <w:outlineLvl w:val="1"/>
              <w:rPr>
                <w:rFonts w:ascii="Arial" w:eastAsia="Times New Roman" w:hAnsi="Arial" w:cs="Arial"/>
                <w:bCs/>
                <w:sz w:val="16"/>
                <w:szCs w:val="16"/>
                <w:lang w:eastAsia="fr-FR"/>
              </w:rPr>
            </w:pPr>
            <w:r>
              <w:rPr>
                <w:rFonts w:ascii="Arial" w:eastAsia="Times New Roman" w:hAnsi="Arial" w:cs="Arial"/>
                <w:bCs/>
                <w:sz w:val="16"/>
                <w:szCs w:val="16"/>
                <w:lang w:eastAsia="fr-FR"/>
              </w:rPr>
              <w:t>Achat de balayeuses et de véhicules électriques</w:t>
            </w:r>
          </w:p>
        </w:tc>
        <w:tc>
          <w:tcPr>
            <w:tcW w:w="1276" w:type="dxa"/>
            <w:tcBorders>
              <w:top w:val="nil"/>
              <w:bottom w:val="nil"/>
            </w:tcBorders>
          </w:tcPr>
          <w:p w14:paraId="5C9D7CEF" w14:textId="77777777" w:rsidR="00F53A17" w:rsidRPr="00BA2A78" w:rsidRDefault="00E943B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981</w:t>
            </w:r>
          </w:p>
        </w:tc>
        <w:tc>
          <w:tcPr>
            <w:tcW w:w="1276" w:type="dxa"/>
            <w:tcBorders>
              <w:top w:val="nil"/>
              <w:bottom w:val="nil"/>
            </w:tcBorders>
          </w:tcPr>
          <w:p w14:paraId="20CEB218" w14:textId="77777777" w:rsidR="00F53A17" w:rsidRPr="00BA2A78" w:rsidRDefault="00F53A17" w:rsidP="00272C13">
            <w:pPr>
              <w:spacing w:before="60" w:after="60"/>
              <w:jc w:val="right"/>
              <w:outlineLvl w:val="1"/>
              <w:rPr>
                <w:rFonts w:ascii="Arial" w:eastAsia="Times New Roman" w:hAnsi="Arial" w:cs="Arial"/>
                <w:bCs/>
                <w:sz w:val="16"/>
                <w:szCs w:val="16"/>
                <w:lang w:eastAsia="fr-FR"/>
              </w:rPr>
            </w:pPr>
          </w:p>
        </w:tc>
        <w:tc>
          <w:tcPr>
            <w:tcW w:w="1417" w:type="dxa"/>
            <w:tcBorders>
              <w:top w:val="nil"/>
              <w:bottom w:val="nil"/>
            </w:tcBorders>
          </w:tcPr>
          <w:p w14:paraId="34931152" w14:textId="77777777" w:rsidR="00F53A17" w:rsidRPr="00BA2A78" w:rsidRDefault="00F53A17" w:rsidP="00272C13">
            <w:pPr>
              <w:spacing w:before="60" w:after="60"/>
              <w:jc w:val="right"/>
              <w:outlineLvl w:val="1"/>
              <w:rPr>
                <w:rFonts w:ascii="Arial" w:eastAsia="Times New Roman" w:hAnsi="Arial" w:cs="Arial"/>
                <w:bCs/>
                <w:sz w:val="16"/>
                <w:szCs w:val="16"/>
                <w:lang w:eastAsia="fr-FR"/>
              </w:rPr>
            </w:pPr>
          </w:p>
        </w:tc>
      </w:tr>
      <w:tr w:rsidR="002D68A8" w:rsidRPr="00BA2A78" w14:paraId="432253AC" w14:textId="77777777" w:rsidTr="00D20234">
        <w:tc>
          <w:tcPr>
            <w:tcW w:w="675" w:type="dxa"/>
            <w:tcBorders>
              <w:top w:val="nil"/>
              <w:bottom w:val="nil"/>
              <w:right w:val="nil"/>
            </w:tcBorders>
          </w:tcPr>
          <w:p w14:paraId="35DA808D" w14:textId="77777777" w:rsidR="002D68A8" w:rsidRPr="00BA2A78" w:rsidRDefault="002D68A8" w:rsidP="00272C13">
            <w:pPr>
              <w:spacing w:before="60" w:after="60"/>
              <w:outlineLvl w:val="1"/>
              <w:rPr>
                <w:rFonts w:ascii="Arial" w:eastAsia="Times New Roman" w:hAnsi="Arial" w:cs="Arial"/>
                <w:bCs/>
                <w:sz w:val="16"/>
                <w:szCs w:val="16"/>
                <w:lang w:eastAsia="fr-FR"/>
              </w:rPr>
            </w:pPr>
          </w:p>
        </w:tc>
        <w:tc>
          <w:tcPr>
            <w:tcW w:w="5132" w:type="dxa"/>
            <w:tcBorders>
              <w:top w:val="nil"/>
              <w:left w:val="nil"/>
              <w:bottom w:val="nil"/>
            </w:tcBorders>
          </w:tcPr>
          <w:p w14:paraId="1A8283FB" w14:textId="77777777" w:rsidR="002D68A8" w:rsidRDefault="002D68A8" w:rsidP="002D68A8">
            <w:pPr>
              <w:spacing w:before="60" w:after="60"/>
              <w:outlineLvl w:val="1"/>
              <w:rPr>
                <w:rFonts w:ascii="Arial" w:eastAsia="Times New Roman" w:hAnsi="Arial" w:cs="Arial"/>
                <w:bCs/>
                <w:sz w:val="16"/>
                <w:szCs w:val="16"/>
                <w:lang w:eastAsia="fr-FR"/>
              </w:rPr>
            </w:pPr>
            <w:r>
              <w:rPr>
                <w:rFonts w:ascii="Arial" w:eastAsia="Times New Roman" w:hAnsi="Arial" w:cs="Arial"/>
                <w:bCs/>
                <w:sz w:val="16"/>
                <w:szCs w:val="16"/>
                <w:lang w:eastAsia="fr-FR"/>
              </w:rPr>
              <w:t>Remplacement menuiseries de la façade écoles Monnet Marguerites</w:t>
            </w:r>
          </w:p>
        </w:tc>
        <w:tc>
          <w:tcPr>
            <w:tcW w:w="1276" w:type="dxa"/>
            <w:tcBorders>
              <w:top w:val="nil"/>
              <w:bottom w:val="nil"/>
            </w:tcBorders>
          </w:tcPr>
          <w:p w14:paraId="1C0DF719" w14:textId="77777777" w:rsidR="002D68A8" w:rsidRDefault="002D68A8" w:rsidP="00272C13">
            <w:pPr>
              <w:spacing w:before="60" w:after="60"/>
              <w:jc w:val="right"/>
              <w:outlineLvl w:val="1"/>
              <w:rPr>
                <w:rFonts w:ascii="Arial" w:eastAsia="Times New Roman" w:hAnsi="Arial" w:cs="Arial"/>
                <w:bCs/>
                <w:sz w:val="16"/>
                <w:szCs w:val="16"/>
                <w:lang w:eastAsia="fr-FR"/>
              </w:rPr>
            </w:pPr>
          </w:p>
        </w:tc>
        <w:tc>
          <w:tcPr>
            <w:tcW w:w="1276" w:type="dxa"/>
            <w:tcBorders>
              <w:top w:val="nil"/>
              <w:bottom w:val="nil"/>
            </w:tcBorders>
          </w:tcPr>
          <w:p w14:paraId="5ECD356C" w14:textId="77777777" w:rsidR="002D68A8" w:rsidRPr="00BA2A78" w:rsidRDefault="00E943B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125</w:t>
            </w:r>
          </w:p>
        </w:tc>
        <w:tc>
          <w:tcPr>
            <w:tcW w:w="1417" w:type="dxa"/>
            <w:tcBorders>
              <w:top w:val="nil"/>
              <w:bottom w:val="nil"/>
            </w:tcBorders>
          </w:tcPr>
          <w:p w14:paraId="01876B0C" w14:textId="77777777" w:rsidR="002D68A8" w:rsidRPr="00BA2A78" w:rsidRDefault="00E943B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125</w:t>
            </w:r>
          </w:p>
        </w:tc>
      </w:tr>
      <w:tr w:rsidR="002D68A8" w:rsidRPr="00BA2A78" w14:paraId="47770B96" w14:textId="77777777" w:rsidTr="00D20234">
        <w:tc>
          <w:tcPr>
            <w:tcW w:w="675" w:type="dxa"/>
            <w:tcBorders>
              <w:top w:val="nil"/>
              <w:right w:val="nil"/>
            </w:tcBorders>
          </w:tcPr>
          <w:p w14:paraId="16F0BCB0" w14:textId="77777777" w:rsidR="002D68A8" w:rsidRPr="00BA2A78" w:rsidRDefault="002D68A8" w:rsidP="00272C13">
            <w:pPr>
              <w:spacing w:before="60" w:after="60"/>
              <w:outlineLvl w:val="1"/>
              <w:rPr>
                <w:rFonts w:ascii="Arial" w:eastAsia="Times New Roman" w:hAnsi="Arial" w:cs="Arial"/>
                <w:bCs/>
                <w:sz w:val="16"/>
                <w:szCs w:val="16"/>
                <w:lang w:eastAsia="fr-FR"/>
              </w:rPr>
            </w:pPr>
          </w:p>
        </w:tc>
        <w:tc>
          <w:tcPr>
            <w:tcW w:w="5132" w:type="dxa"/>
            <w:tcBorders>
              <w:top w:val="nil"/>
              <w:left w:val="nil"/>
            </w:tcBorders>
          </w:tcPr>
          <w:p w14:paraId="2C836AA7" w14:textId="77777777" w:rsidR="002D68A8" w:rsidRDefault="002D68A8" w:rsidP="002D68A8">
            <w:pPr>
              <w:spacing w:before="60" w:after="60"/>
              <w:outlineLvl w:val="1"/>
              <w:rPr>
                <w:rFonts w:ascii="Arial" w:eastAsia="Times New Roman" w:hAnsi="Arial" w:cs="Arial"/>
                <w:bCs/>
                <w:sz w:val="16"/>
                <w:szCs w:val="16"/>
                <w:lang w:eastAsia="fr-FR"/>
              </w:rPr>
            </w:pPr>
            <w:r>
              <w:rPr>
                <w:rFonts w:ascii="Arial" w:eastAsia="Times New Roman" w:hAnsi="Arial" w:cs="Arial"/>
                <w:bCs/>
                <w:sz w:val="16"/>
                <w:szCs w:val="16"/>
                <w:lang w:eastAsia="fr-FR"/>
              </w:rPr>
              <w:t>Isolation toiture et chauffage 11 rue Julien Chaillioux</w:t>
            </w:r>
          </w:p>
        </w:tc>
        <w:tc>
          <w:tcPr>
            <w:tcW w:w="1276" w:type="dxa"/>
            <w:tcBorders>
              <w:top w:val="nil"/>
            </w:tcBorders>
          </w:tcPr>
          <w:p w14:paraId="489F63C8" w14:textId="77777777" w:rsidR="002D68A8" w:rsidRDefault="002D68A8" w:rsidP="00272C13">
            <w:pPr>
              <w:spacing w:before="60" w:after="60"/>
              <w:jc w:val="right"/>
              <w:outlineLvl w:val="1"/>
              <w:rPr>
                <w:rFonts w:ascii="Arial" w:eastAsia="Times New Roman" w:hAnsi="Arial" w:cs="Arial"/>
                <w:bCs/>
                <w:sz w:val="16"/>
                <w:szCs w:val="16"/>
                <w:lang w:eastAsia="fr-FR"/>
              </w:rPr>
            </w:pPr>
          </w:p>
        </w:tc>
        <w:tc>
          <w:tcPr>
            <w:tcW w:w="1276" w:type="dxa"/>
            <w:tcBorders>
              <w:top w:val="nil"/>
            </w:tcBorders>
          </w:tcPr>
          <w:p w14:paraId="25C3C4B4" w14:textId="77777777" w:rsidR="002D68A8" w:rsidRPr="00BA2A78" w:rsidRDefault="00E943B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276</w:t>
            </w:r>
          </w:p>
        </w:tc>
        <w:tc>
          <w:tcPr>
            <w:tcW w:w="1417" w:type="dxa"/>
            <w:tcBorders>
              <w:top w:val="nil"/>
            </w:tcBorders>
          </w:tcPr>
          <w:p w14:paraId="625DE715" w14:textId="77777777" w:rsidR="002D68A8" w:rsidRPr="00BA2A78" w:rsidRDefault="002D68A8" w:rsidP="00272C13">
            <w:pPr>
              <w:spacing w:before="60" w:after="60"/>
              <w:jc w:val="right"/>
              <w:outlineLvl w:val="1"/>
              <w:rPr>
                <w:rFonts w:ascii="Arial" w:eastAsia="Times New Roman" w:hAnsi="Arial" w:cs="Arial"/>
                <w:bCs/>
                <w:sz w:val="16"/>
                <w:szCs w:val="16"/>
                <w:lang w:eastAsia="fr-FR"/>
              </w:rPr>
            </w:pPr>
          </w:p>
        </w:tc>
      </w:tr>
      <w:tr w:rsidR="00CE2DBC" w:rsidRPr="00CE2DBC" w14:paraId="30C2AABF" w14:textId="77777777" w:rsidTr="00D20234">
        <w:tc>
          <w:tcPr>
            <w:tcW w:w="5807" w:type="dxa"/>
            <w:gridSpan w:val="2"/>
            <w:tcBorders>
              <w:bottom w:val="single" w:sz="4" w:space="0" w:color="000000" w:themeColor="text1"/>
            </w:tcBorders>
          </w:tcPr>
          <w:p w14:paraId="3D04561B" w14:textId="77777777" w:rsidR="00CE2DBC" w:rsidRPr="00CE2DBC" w:rsidRDefault="00CE2DBC" w:rsidP="008D41DE">
            <w:pPr>
              <w:spacing w:before="60" w:after="60"/>
              <w:outlineLvl w:val="1"/>
              <w:rPr>
                <w:rFonts w:ascii="Arial" w:eastAsia="Times New Roman" w:hAnsi="Arial" w:cs="Arial"/>
                <w:b/>
                <w:bCs/>
                <w:sz w:val="16"/>
                <w:szCs w:val="16"/>
                <w:lang w:eastAsia="fr-FR"/>
              </w:rPr>
            </w:pPr>
            <w:r w:rsidRPr="00CE2DBC">
              <w:rPr>
                <w:rFonts w:ascii="Arial" w:eastAsia="Times New Roman" w:hAnsi="Arial" w:cs="Arial"/>
                <w:b/>
                <w:bCs/>
                <w:sz w:val="16"/>
                <w:szCs w:val="16"/>
                <w:lang w:eastAsia="fr-FR"/>
              </w:rPr>
              <w:t>Adaptation des bâtiments</w:t>
            </w:r>
          </w:p>
        </w:tc>
        <w:tc>
          <w:tcPr>
            <w:tcW w:w="1276" w:type="dxa"/>
            <w:tcBorders>
              <w:bottom w:val="single" w:sz="4" w:space="0" w:color="000000" w:themeColor="text1"/>
            </w:tcBorders>
          </w:tcPr>
          <w:p w14:paraId="6A6810C3" w14:textId="77777777" w:rsidR="00CE2DBC" w:rsidRPr="00CE2DBC" w:rsidRDefault="00E943BF" w:rsidP="00272C13">
            <w:pPr>
              <w:spacing w:before="60" w:after="60"/>
              <w:jc w:val="right"/>
              <w:outlineLvl w:val="1"/>
              <w:rPr>
                <w:rFonts w:ascii="Arial" w:eastAsia="Times New Roman" w:hAnsi="Arial" w:cs="Arial"/>
                <w:b/>
                <w:bCs/>
                <w:sz w:val="16"/>
                <w:szCs w:val="16"/>
                <w:lang w:eastAsia="fr-FR"/>
              </w:rPr>
            </w:pPr>
            <w:r>
              <w:rPr>
                <w:rFonts w:ascii="Arial" w:eastAsia="Times New Roman" w:hAnsi="Arial" w:cs="Arial"/>
                <w:b/>
                <w:bCs/>
                <w:sz w:val="16"/>
                <w:szCs w:val="16"/>
                <w:lang w:eastAsia="fr-FR"/>
              </w:rPr>
              <w:t>45</w:t>
            </w:r>
          </w:p>
        </w:tc>
        <w:tc>
          <w:tcPr>
            <w:tcW w:w="1276" w:type="dxa"/>
            <w:tcBorders>
              <w:bottom w:val="single" w:sz="4" w:space="0" w:color="000000" w:themeColor="text1"/>
            </w:tcBorders>
          </w:tcPr>
          <w:p w14:paraId="35580991" w14:textId="77777777" w:rsidR="00CE2DBC" w:rsidRPr="00CE2DBC" w:rsidRDefault="00E943BF" w:rsidP="00272C13">
            <w:pPr>
              <w:spacing w:before="60" w:after="60"/>
              <w:jc w:val="right"/>
              <w:outlineLvl w:val="1"/>
              <w:rPr>
                <w:rFonts w:ascii="Arial" w:eastAsia="Times New Roman" w:hAnsi="Arial" w:cs="Arial"/>
                <w:b/>
                <w:bCs/>
                <w:sz w:val="16"/>
                <w:szCs w:val="16"/>
                <w:lang w:eastAsia="fr-FR"/>
              </w:rPr>
            </w:pPr>
            <w:r>
              <w:rPr>
                <w:rFonts w:ascii="Arial" w:eastAsia="Times New Roman" w:hAnsi="Arial" w:cs="Arial"/>
                <w:b/>
                <w:bCs/>
                <w:sz w:val="16"/>
                <w:szCs w:val="16"/>
                <w:lang w:eastAsia="fr-FR"/>
              </w:rPr>
              <w:t>854</w:t>
            </w:r>
          </w:p>
        </w:tc>
        <w:tc>
          <w:tcPr>
            <w:tcW w:w="1417" w:type="dxa"/>
            <w:tcBorders>
              <w:bottom w:val="single" w:sz="4" w:space="0" w:color="000000" w:themeColor="text1"/>
            </w:tcBorders>
          </w:tcPr>
          <w:p w14:paraId="0D73DBC4" w14:textId="77777777" w:rsidR="00CE2DBC" w:rsidRPr="00CE2DBC" w:rsidRDefault="00E943BF" w:rsidP="00272C13">
            <w:pPr>
              <w:spacing w:before="60" w:after="60"/>
              <w:jc w:val="right"/>
              <w:outlineLvl w:val="1"/>
              <w:rPr>
                <w:rFonts w:ascii="Arial" w:eastAsia="Times New Roman" w:hAnsi="Arial" w:cs="Arial"/>
                <w:b/>
                <w:bCs/>
                <w:sz w:val="16"/>
                <w:szCs w:val="16"/>
                <w:lang w:eastAsia="fr-FR"/>
              </w:rPr>
            </w:pPr>
            <w:r>
              <w:rPr>
                <w:rFonts w:ascii="Arial" w:eastAsia="Times New Roman" w:hAnsi="Arial" w:cs="Arial"/>
                <w:b/>
                <w:bCs/>
                <w:sz w:val="16"/>
                <w:szCs w:val="16"/>
                <w:lang w:eastAsia="fr-FR"/>
              </w:rPr>
              <w:t>876</w:t>
            </w:r>
          </w:p>
        </w:tc>
      </w:tr>
      <w:tr w:rsidR="00CE2DBC" w:rsidRPr="00CE2DBC" w14:paraId="54AD6ED1" w14:textId="77777777" w:rsidTr="00D20234">
        <w:tc>
          <w:tcPr>
            <w:tcW w:w="675" w:type="dxa"/>
            <w:tcBorders>
              <w:bottom w:val="nil"/>
              <w:right w:val="nil"/>
            </w:tcBorders>
          </w:tcPr>
          <w:p w14:paraId="371D323C" w14:textId="77777777" w:rsidR="00CE2DBC" w:rsidRPr="00CE2DBC" w:rsidRDefault="00CE2DBC" w:rsidP="00CE2DBC">
            <w:pPr>
              <w:spacing w:before="60" w:after="60"/>
              <w:outlineLvl w:val="1"/>
              <w:rPr>
                <w:rFonts w:ascii="Arial" w:eastAsia="Times New Roman" w:hAnsi="Arial" w:cs="Arial"/>
                <w:bCs/>
                <w:sz w:val="16"/>
                <w:szCs w:val="16"/>
                <w:lang w:eastAsia="fr-FR"/>
              </w:rPr>
            </w:pPr>
            <w:proofErr w:type="gramStart"/>
            <w:r w:rsidRPr="00CE2DBC">
              <w:rPr>
                <w:rFonts w:ascii="Arial" w:eastAsia="Times New Roman" w:hAnsi="Arial" w:cs="Arial"/>
                <w:bCs/>
                <w:sz w:val="16"/>
                <w:szCs w:val="16"/>
                <w:lang w:eastAsia="fr-FR"/>
              </w:rPr>
              <w:t>dont</w:t>
            </w:r>
            <w:proofErr w:type="gramEnd"/>
          </w:p>
        </w:tc>
        <w:tc>
          <w:tcPr>
            <w:tcW w:w="5132" w:type="dxa"/>
            <w:tcBorders>
              <w:left w:val="nil"/>
              <w:bottom w:val="nil"/>
            </w:tcBorders>
          </w:tcPr>
          <w:p w14:paraId="761D0142" w14:textId="77777777" w:rsidR="00CE2DBC" w:rsidRPr="00CE2DBC" w:rsidRDefault="00E943BF" w:rsidP="00CE2DBC">
            <w:pPr>
              <w:spacing w:before="60" w:after="60"/>
              <w:outlineLvl w:val="1"/>
              <w:rPr>
                <w:rFonts w:ascii="Arial" w:eastAsia="Times New Roman" w:hAnsi="Arial" w:cs="Arial"/>
                <w:bCs/>
                <w:sz w:val="16"/>
                <w:szCs w:val="16"/>
                <w:lang w:eastAsia="fr-FR"/>
              </w:rPr>
            </w:pPr>
            <w:r>
              <w:rPr>
                <w:rFonts w:ascii="Arial" w:eastAsia="Times New Roman" w:hAnsi="Arial" w:cs="Arial"/>
                <w:bCs/>
                <w:sz w:val="16"/>
                <w:szCs w:val="16"/>
                <w:lang w:eastAsia="fr-FR"/>
              </w:rPr>
              <w:t>Centre administratif</w:t>
            </w:r>
          </w:p>
        </w:tc>
        <w:tc>
          <w:tcPr>
            <w:tcW w:w="1276" w:type="dxa"/>
            <w:tcBorders>
              <w:bottom w:val="nil"/>
            </w:tcBorders>
          </w:tcPr>
          <w:p w14:paraId="51C63C88" w14:textId="77777777" w:rsidR="00CE2DBC" w:rsidRPr="00CE2DBC" w:rsidRDefault="00CE2DBC" w:rsidP="00272C13">
            <w:pPr>
              <w:spacing w:before="60" w:after="60"/>
              <w:jc w:val="right"/>
              <w:outlineLvl w:val="1"/>
              <w:rPr>
                <w:rFonts w:ascii="Arial" w:eastAsia="Times New Roman" w:hAnsi="Arial" w:cs="Arial"/>
                <w:bCs/>
                <w:sz w:val="16"/>
                <w:szCs w:val="16"/>
                <w:lang w:eastAsia="fr-FR"/>
              </w:rPr>
            </w:pPr>
          </w:p>
        </w:tc>
        <w:tc>
          <w:tcPr>
            <w:tcW w:w="1276" w:type="dxa"/>
            <w:tcBorders>
              <w:bottom w:val="nil"/>
            </w:tcBorders>
          </w:tcPr>
          <w:p w14:paraId="3D0D1B7A" w14:textId="77777777" w:rsidR="00CE2DBC" w:rsidRPr="00CE2DBC" w:rsidRDefault="00E943B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200</w:t>
            </w:r>
          </w:p>
        </w:tc>
        <w:tc>
          <w:tcPr>
            <w:tcW w:w="1417" w:type="dxa"/>
            <w:tcBorders>
              <w:bottom w:val="nil"/>
            </w:tcBorders>
          </w:tcPr>
          <w:p w14:paraId="3AE3EAA4" w14:textId="77777777" w:rsidR="00CE2DBC" w:rsidRPr="00CE2DBC" w:rsidRDefault="00CE2DBC" w:rsidP="00272C13">
            <w:pPr>
              <w:spacing w:before="60" w:after="60"/>
              <w:jc w:val="right"/>
              <w:outlineLvl w:val="1"/>
              <w:rPr>
                <w:rFonts w:ascii="Arial" w:eastAsia="Times New Roman" w:hAnsi="Arial" w:cs="Arial"/>
                <w:bCs/>
                <w:sz w:val="16"/>
                <w:szCs w:val="16"/>
                <w:lang w:eastAsia="fr-FR"/>
              </w:rPr>
            </w:pPr>
          </w:p>
        </w:tc>
      </w:tr>
      <w:tr w:rsidR="00CE2DBC" w:rsidRPr="00E943BF" w14:paraId="293AD89C" w14:textId="77777777" w:rsidTr="00D20234">
        <w:tc>
          <w:tcPr>
            <w:tcW w:w="675" w:type="dxa"/>
            <w:tcBorders>
              <w:top w:val="nil"/>
              <w:bottom w:val="nil"/>
              <w:right w:val="nil"/>
            </w:tcBorders>
          </w:tcPr>
          <w:p w14:paraId="1C812E94" w14:textId="77777777" w:rsidR="00CE2DBC" w:rsidRPr="00E943BF" w:rsidRDefault="00CE2DBC" w:rsidP="00CE2DBC">
            <w:pPr>
              <w:spacing w:before="60" w:after="60"/>
              <w:outlineLvl w:val="1"/>
              <w:rPr>
                <w:rFonts w:ascii="Arial" w:eastAsia="Times New Roman" w:hAnsi="Arial" w:cs="Arial"/>
                <w:bCs/>
                <w:sz w:val="16"/>
                <w:szCs w:val="16"/>
                <w:lang w:eastAsia="fr-FR"/>
              </w:rPr>
            </w:pPr>
          </w:p>
        </w:tc>
        <w:tc>
          <w:tcPr>
            <w:tcW w:w="5132" w:type="dxa"/>
            <w:tcBorders>
              <w:top w:val="nil"/>
              <w:left w:val="nil"/>
              <w:bottom w:val="nil"/>
            </w:tcBorders>
          </w:tcPr>
          <w:p w14:paraId="22E4B7C3" w14:textId="77777777" w:rsidR="00CE2DBC" w:rsidRPr="00E943BF" w:rsidRDefault="00E943BF" w:rsidP="00CE2DBC">
            <w:pPr>
              <w:spacing w:before="60" w:after="60"/>
              <w:outlineLvl w:val="1"/>
              <w:rPr>
                <w:rFonts w:ascii="Arial" w:eastAsia="Times New Roman" w:hAnsi="Arial" w:cs="Arial"/>
                <w:bCs/>
                <w:sz w:val="16"/>
                <w:szCs w:val="16"/>
                <w:lang w:eastAsia="fr-FR"/>
              </w:rPr>
            </w:pPr>
            <w:r w:rsidRPr="00E943BF">
              <w:rPr>
                <w:rFonts w:ascii="Arial" w:eastAsia="Times New Roman" w:hAnsi="Arial" w:cs="Arial"/>
                <w:bCs/>
                <w:sz w:val="16"/>
                <w:szCs w:val="16"/>
                <w:lang w:eastAsia="fr-FR"/>
              </w:rPr>
              <w:t>Ecoles maternelles et élémentaires</w:t>
            </w:r>
          </w:p>
        </w:tc>
        <w:tc>
          <w:tcPr>
            <w:tcW w:w="1276" w:type="dxa"/>
            <w:tcBorders>
              <w:top w:val="nil"/>
              <w:bottom w:val="nil"/>
            </w:tcBorders>
          </w:tcPr>
          <w:p w14:paraId="3B6A7F12" w14:textId="77777777" w:rsidR="00CE2DBC" w:rsidRPr="00E943BF" w:rsidRDefault="00E943B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45</w:t>
            </w:r>
          </w:p>
        </w:tc>
        <w:tc>
          <w:tcPr>
            <w:tcW w:w="1276" w:type="dxa"/>
            <w:tcBorders>
              <w:top w:val="nil"/>
              <w:bottom w:val="nil"/>
            </w:tcBorders>
          </w:tcPr>
          <w:p w14:paraId="7F999719" w14:textId="77777777" w:rsidR="00CE2DBC" w:rsidRPr="00E943BF" w:rsidRDefault="00E943B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30</w:t>
            </w:r>
          </w:p>
        </w:tc>
        <w:tc>
          <w:tcPr>
            <w:tcW w:w="1417" w:type="dxa"/>
            <w:tcBorders>
              <w:top w:val="nil"/>
              <w:bottom w:val="nil"/>
            </w:tcBorders>
          </w:tcPr>
          <w:p w14:paraId="424697D0" w14:textId="77777777" w:rsidR="00CE2DBC" w:rsidRPr="00E943BF" w:rsidRDefault="00E943B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81</w:t>
            </w:r>
          </w:p>
        </w:tc>
      </w:tr>
      <w:tr w:rsidR="00CE2DBC" w:rsidRPr="00E943BF" w14:paraId="31FB923E" w14:textId="77777777" w:rsidTr="00D20234">
        <w:tc>
          <w:tcPr>
            <w:tcW w:w="675" w:type="dxa"/>
            <w:tcBorders>
              <w:top w:val="nil"/>
              <w:bottom w:val="nil"/>
              <w:right w:val="nil"/>
            </w:tcBorders>
          </w:tcPr>
          <w:p w14:paraId="5194AE8A" w14:textId="77777777" w:rsidR="00CE2DBC" w:rsidRPr="00E943BF" w:rsidRDefault="00CE2DBC" w:rsidP="00CE2DBC">
            <w:pPr>
              <w:spacing w:before="60" w:after="60"/>
              <w:outlineLvl w:val="1"/>
              <w:rPr>
                <w:rFonts w:ascii="Arial" w:eastAsia="Times New Roman" w:hAnsi="Arial" w:cs="Arial"/>
                <w:bCs/>
                <w:sz w:val="16"/>
                <w:szCs w:val="16"/>
                <w:lang w:eastAsia="fr-FR"/>
              </w:rPr>
            </w:pPr>
          </w:p>
        </w:tc>
        <w:tc>
          <w:tcPr>
            <w:tcW w:w="5132" w:type="dxa"/>
            <w:tcBorders>
              <w:top w:val="nil"/>
              <w:left w:val="nil"/>
              <w:bottom w:val="nil"/>
            </w:tcBorders>
          </w:tcPr>
          <w:p w14:paraId="4FF8C41E" w14:textId="77777777" w:rsidR="00CE2DBC" w:rsidRPr="00E943BF" w:rsidRDefault="00E943BF" w:rsidP="00CE2DBC">
            <w:pPr>
              <w:spacing w:before="60" w:after="60"/>
              <w:outlineLvl w:val="1"/>
              <w:rPr>
                <w:rFonts w:ascii="Arial" w:eastAsia="Times New Roman" w:hAnsi="Arial" w:cs="Arial"/>
                <w:bCs/>
                <w:sz w:val="16"/>
                <w:szCs w:val="16"/>
                <w:lang w:eastAsia="fr-FR"/>
              </w:rPr>
            </w:pPr>
            <w:r w:rsidRPr="00E943BF">
              <w:rPr>
                <w:rFonts w:ascii="Arial" w:eastAsia="Times New Roman" w:hAnsi="Arial" w:cs="Arial"/>
                <w:bCs/>
                <w:sz w:val="16"/>
                <w:szCs w:val="16"/>
                <w:lang w:eastAsia="fr-FR"/>
              </w:rPr>
              <w:t>Bibliothèque</w:t>
            </w:r>
          </w:p>
        </w:tc>
        <w:tc>
          <w:tcPr>
            <w:tcW w:w="1276" w:type="dxa"/>
            <w:tcBorders>
              <w:top w:val="nil"/>
              <w:bottom w:val="nil"/>
            </w:tcBorders>
          </w:tcPr>
          <w:p w14:paraId="15888087" w14:textId="77777777" w:rsidR="00CE2DBC" w:rsidRPr="00E943BF" w:rsidRDefault="00CE2DBC" w:rsidP="00272C13">
            <w:pPr>
              <w:spacing w:before="60" w:after="60"/>
              <w:jc w:val="right"/>
              <w:outlineLvl w:val="1"/>
              <w:rPr>
                <w:rFonts w:ascii="Arial" w:eastAsia="Times New Roman" w:hAnsi="Arial" w:cs="Arial"/>
                <w:bCs/>
                <w:sz w:val="16"/>
                <w:szCs w:val="16"/>
                <w:lang w:eastAsia="fr-FR"/>
              </w:rPr>
            </w:pPr>
          </w:p>
        </w:tc>
        <w:tc>
          <w:tcPr>
            <w:tcW w:w="1276" w:type="dxa"/>
            <w:tcBorders>
              <w:top w:val="nil"/>
              <w:bottom w:val="nil"/>
            </w:tcBorders>
          </w:tcPr>
          <w:p w14:paraId="30B7756A" w14:textId="77777777" w:rsidR="00CE2DBC" w:rsidRPr="00E943BF" w:rsidRDefault="00E943B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80</w:t>
            </w:r>
          </w:p>
        </w:tc>
        <w:tc>
          <w:tcPr>
            <w:tcW w:w="1417" w:type="dxa"/>
            <w:tcBorders>
              <w:top w:val="nil"/>
              <w:bottom w:val="nil"/>
            </w:tcBorders>
          </w:tcPr>
          <w:p w14:paraId="09202A18" w14:textId="77777777" w:rsidR="00CE2DBC" w:rsidRPr="00E943BF" w:rsidRDefault="00CE2DBC" w:rsidP="00272C13">
            <w:pPr>
              <w:spacing w:before="60" w:after="60"/>
              <w:jc w:val="right"/>
              <w:outlineLvl w:val="1"/>
              <w:rPr>
                <w:rFonts w:ascii="Arial" w:eastAsia="Times New Roman" w:hAnsi="Arial" w:cs="Arial"/>
                <w:bCs/>
                <w:sz w:val="16"/>
                <w:szCs w:val="16"/>
                <w:lang w:eastAsia="fr-FR"/>
              </w:rPr>
            </w:pPr>
          </w:p>
        </w:tc>
      </w:tr>
      <w:tr w:rsidR="00CE2DBC" w:rsidRPr="00E943BF" w14:paraId="1F471379" w14:textId="77777777" w:rsidTr="00D20234">
        <w:tc>
          <w:tcPr>
            <w:tcW w:w="675" w:type="dxa"/>
            <w:tcBorders>
              <w:top w:val="nil"/>
              <w:bottom w:val="nil"/>
              <w:right w:val="nil"/>
            </w:tcBorders>
          </w:tcPr>
          <w:p w14:paraId="1B261EDB" w14:textId="77777777" w:rsidR="00CE2DBC" w:rsidRPr="00E943BF" w:rsidRDefault="00CE2DBC" w:rsidP="00CE2DBC">
            <w:pPr>
              <w:spacing w:before="60" w:after="60"/>
              <w:outlineLvl w:val="1"/>
              <w:rPr>
                <w:rFonts w:ascii="Arial" w:eastAsia="Times New Roman" w:hAnsi="Arial" w:cs="Arial"/>
                <w:bCs/>
                <w:sz w:val="16"/>
                <w:szCs w:val="16"/>
                <w:lang w:eastAsia="fr-FR"/>
              </w:rPr>
            </w:pPr>
          </w:p>
        </w:tc>
        <w:tc>
          <w:tcPr>
            <w:tcW w:w="5132" w:type="dxa"/>
            <w:tcBorders>
              <w:top w:val="nil"/>
              <w:left w:val="nil"/>
              <w:bottom w:val="nil"/>
            </w:tcBorders>
          </w:tcPr>
          <w:p w14:paraId="207A723B" w14:textId="77777777" w:rsidR="00CE2DBC" w:rsidRPr="00E943BF" w:rsidRDefault="00E943BF" w:rsidP="00CE2DBC">
            <w:pPr>
              <w:spacing w:before="60" w:after="60"/>
              <w:outlineLvl w:val="1"/>
              <w:rPr>
                <w:rFonts w:ascii="Arial" w:eastAsia="Times New Roman" w:hAnsi="Arial" w:cs="Arial"/>
                <w:bCs/>
                <w:sz w:val="16"/>
                <w:szCs w:val="16"/>
                <w:lang w:eastAsia="fr-FR"/>
              </w:rPr>
            </w:pPr>
            <w:r w:rsidRPr="00E943BF">
              <w:rPr>
                <w:rFonts w:ascii="Arial" w:eastAsia="Times New Roman" w:hAnsi="Arial" w:cs="Arial"/>
                <w:bCs/>
                <w:sz w:val="16"/>
                <w:szCs w:val="16"/>
                <w:lang w:eastAsia="fr-FR"/>
              </w:rPr>
              <w:t>Bâtiment 9 rue Julien Chaillioux</w:t>
            </w:r>
          </w:p>
        </w:tc>
        <w:tc>
          <w:tcPr>
            <w:tcW w:w="1276" w:type="dxa"/>
            <w:tcBorders>
              <w:top w:val="nil"/>
              <w:bottom w:val="nil"/>
            </w:tcBorders>
          </w:tcPr>
          <w:p w14:paraId="147CFD87" w14:textId="77777777" w:rsidR="00CE2DBC" w:rsidRPr="00E943BF" w:rsidRDefault="00CE2DBC" w:rsidP="00272C13">
            <w:pPr>
              <w:spacing w:before="60" w:after="60"/>
              <w:jc w:val="right"/>
              <w:outlineLvl w:val="1"/>
              <w:rPr>
                <w:rFonts w:ascii="Arial" w:eastAsia="Times New Roman" w:hAnsi="Arial" w:cs="Arial"/>
                <w:bCs/>
                <w:sz w:val="16"/>
                <w:szCs w:val="16"/>
                <w:lang w:eastAsia="fr-FR"/>
              </w:rPr>
            </w:pPr>
          </w:p>
        </w:tc>
        <w:tc>
          <w:tcPr>
            <w:tcW w:w="1276" w:type="dxa"/>
            <w:tcBorders>
              <w:top w:val="nil"/>
              <w:bottom w:val="nil"/>
            </w:tcBorders>
          </w:tcPr>
          <w:p w14:paraId="1A16F172" w14:textId="77777777" w:rsidR="00CE2DBC" w:rsidRPr="00E943BF" w:rsidRDefault="00E943B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12</w:t>
            </w:r>
          </w:p>
        </w:tc>
        <w:tc>
          <w:tcPr>
            <w:tcW w:w="1417" w:type="dxa"/>
            <w:tcBorders>
              <w:top w:val="nil"/>
              <w:bottom w:val="nil"/>
            </w:tcBorders>
          </w:tcPr>
          <w:p w14:paraId="7D396E3D" w14:textId="77777777" w:rsidR="00CE2DBC" w:rsidRPr="00E943BF" w:rsidRDefault="00E943B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100</w:t>
            </w:r>
          </w:p>
        </w:tc>
      </w:tr>
      <w:tr w:rsidR="00CE2DBC" w:rsidRPr="00E943BF" w14:paraId="5A726006" w14:textId="77777777" w:rsidTr="00D20234">
        <w:tc>
          <w:tcPr>
            <w:tcW w:w="675" w:type="dxa"/>
            <w:tcBorders>
              <w:top w:val="nil"/>
              <w:bottom w:val="nil"/>
              <w:right w:val="nil"/>
            </w:tcBorders>
          </w:tcPr>
          <w:p w14:paraId="04C2BF6F" w14:textId="77777777" w:rsidR="00CE2DBC" w:rsidRPr="00E943BF" w:rsidRDefault="00CE2DBC" w:rsidP="00CE2DBC">
            <w:pPr>
              <w:spacing w:before="60" w:after="60"/>
              <w:outlineLvl w:val="1"/>
              <w:rPr>
                <w:rFonts w:ascii="Arial" w:eastAsia="Times New Roman" w:hAnsi="Arial" w:cs="Arial"/>
                <w:bCs/>
                <w:sz w:val="16"/>
                <w:szCs w:val="16"/>
                <w:lang w:eastAsia="fr-FR"/>
              </w:rPr>
            </w:pPr>
          </w:p>
        </w:tc>
        <w:tc>
          <w:tcPr>
            <w:tcW w:w="5132" w:type="dxa"/>
            <w:tcBorders>
              <w:top w:val="nil"/>
              <w:left w:val="nil"/>
              <w:bottom w:val="nil"/>
            </w:tcBorders>
          </w:tcPr>
          <w:p w14:paraId="3E36BAD3" w14:textId="77777777" w:rsidR="00CE2DBC" w:rsidRPr="00E943BF" w:rsidRDefault="00E943BF" w:rsidP="00CE2DBC">
            <w:pPr>
              <w:spacing w:before="60" w:after="60"/>
              <w:outlineLvl w:val="1"/>
              <w:rPr>
                <w:rFonts w:ascii="Arial" w:eastAsia="Times New Roman" w:hAnsi="Arial" w:cs="Arial"/>
                <w:bCs/>
                <w:sz w:val="16"/>
                <w:szCs w:val="16"/>
                <w:lang w:eastAsia="fr-FR"/>
              </w:rPr>
            </w:pPr>
            <w:r w:rsidRPr="00E943BF">
              <w:rPr>
                <w:rFonts w:ascii="Arial" w:eastAsia="Times New Roman" w:hAnsi="Arial" w:cs="Arial"/>
                <w:bCs/>
                <w:sz w:val="16"/>
                <w:szCs w:val="16"/>
                <w:lang w:eastAsia="fr-FR"/>
              </w:rPr>
              <w:t xml:space="preserve">Gymnase </w:t>
            </w:r>
            <w:r>
              <w:rPr>
                <w:rFonts w:ascii="Arial" w:eastAsia="Times New Roman" w:hAnsi="Arial" w:cs="Arial"/>
                <w:bCs/>
                <w:sz w:val="16"/>
                <w:szCs w:val="16"/>
                <w:lang w:eastAsia="fr-FR"/>
              </w:rPr>
              <w:t>P</w:t>
            </w:r>
            <w:r w:rsidRPr="00E943BF">
              <w:rPr>
                <w:rFonts w:ascii="Arial" w:eastAsia="Times New Roman" w:hAnsi="Arial" w:cs="Arial"/>
                <w:bCs/>
                <w:sz w:val="16"/>
                <w:szCs w:val="16"/>
                <w:lang w:eastAsia="fr-FR"/>
              </w:rPr>
              <w:t>ériquoi, club house rugby, stade sud, tennis</w:t>
            </w:r>
            <w:r>
              <w:rPr>
                <w:rFonts w:ascii="Arial" w:eastAsia="Times New Roman" w:hAnsi="Arial" w:cs="Arial"/>
                <w:bCs/>
                <w:sz w:val="16"/>
                <w:szCs w:val="16"/>
                <w:lang w:eastAsia="fr-FR"/>
              </w:rPr>
              <w:t>, pétanque</w:t>
            </w:r>
          </w:p>
        </w:tc>
        <w:tc>
          <w:tcPr>
            <w:tcW w:w="1276" w:type="dxa"/>
            <w:tcBorders>
              <w:top w:val="nil"/>
              <w:bottom w:val="nil"/>
            </w:tcBorders>
          </w:tcPr>
          <w:p w14:paraId="54A9FEA7" w14:textId="77777777" w:rsidR="00CE2DBC" w:rsidRPr="00E943BF" w:rsidRDefault="00CE2DBC" w:rsidP="00272C13">
            <w:pPr>
              <w:spacing w:before="60" w:after="60"/>
              <w:jc w:val="right"/>
              <w:outlineLvl w:val="1"/>
              <w:rPr>
                <w:rFonts w:ascii="Arial" w:eastAsia="Times New Roman" w:hAnsi="Arial" w:cs="Arial"/>
                <w:bCs/>
                <w:sz w:val="16"/>
                <w:szCs w:val="16"/>
                <w:lang w:eastAsia="fr-FR"/>
              </w:rPr>
            </w:pPr>
          </w:p>
        </w:tc>
        <w:tc>
          <w:tcPr>
            <w:tcW w:w="1276" w:type="dxa"/>
            <w:tcBorders>
              <w:top w:val="nil"/>
              <w:bottom w:val="nil"/>
            </w:tcBorders>
          </w:tcPr>
          <w:p w14:paraId="189B29E2" w14:textId="77777777" w:rsidR="00CE2DBC" w:rsidRPr="00E943BF" w:rsidRDefault="00E943B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150</w:t>
            </w:r>
          </w:p>
        </w:tc>
        <w:tc>
          <w:tcPr>
            <w:tcW w:w="1417" w:type="dxa"/>
            <w:tcBorders>
              <w:top w:val="nil"/>
              <w:bottom w:val="nil"/>
            </w:tcBorders>
          </w:tcPr>
          <w:p w14:paraId="13A27515" w14:textId="77777777" w:rsidR="00CE2DBC" w:rsidRPr="00E943BF" w:rsidRDefault="00E943B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85</w:t>
            </w:r>
          </w:p>
        </w:tc>
      </w:tr>
      <w:tr w:rsidR="00CE2DBC" w:rsidRPr="00E943BF" w14:paraId="39A7D0D4" w14:textId="77777777" w:rsidTr="00D20234">
        <w:tc>
          <w:tcPr>
            <w:tcW w:w="675" w:type="dxa"/>
            <w:tcBorders>
              <w:top w:val="nil"/>
              <w:bottom w:val="nil"/>
              <w:right w:val="nil"/>
            </w:tcBorders>
          </w:tcPr>
          <w:p w14:paraId="70DAA543" w14:textId="77777777" w:rsidR="00CE2DBC" w:rsidRPr="00E943BF" w:rsidRDefault="00CE2DBC" w:rsidP="00CE2DBC">
            <w:pPr>
              <w:spacing w:before="60" w:after="60"/>
              <w:outlineLvl w:val="1"/>
              <w:rPr>
                <w:rFonts w:ascii="Arial" w:eastAsia="Times New Roman" w:hAnsi="Arial" w:cs="Arial"/>
                <w:bCs/>
                <w:sz w:val="16"/>
                <w:szCs w:val="16"/>
                <w:lang w:eastAsia="fr-FR"/>
              </w:rPr>
            </w:pPr>
          </w:p>
        </w:tc>
        <w:tc>
          <w:tcPr>
            <w:tcW w:w="5132" w:type="dxa"/>
            <w:tcBorders>
              <w:top w:val="nil"/>
              <w:left w:val="nil"/>
              <w:bottom w:val="nil"/>
            </w:tcBorders>
          </w:tcPr>
          <w:p w14:paraId="0F02E870" w14:textId="77777777" w:rsidR="00CE2DBC" w:rsidRPr="00E943BF" w:rsidRDefault="00E943BF" w:rsidP="00CE2DBC">
            <w:pPr>
              <w:spacing w:before="60" w:after="60"/>
              <w:outlineLvl w:val="1"/>
              <w:rPr>
                <w:rFonts w:ascii="Arial" w:eastAsia="Times New Roman" w:hAnsi="Arial" w:cs="Arial"/>
                <w:bCs/>
                <w:sz w:val="16"/>
                <w:szCs w:val="16"/>
                <w:lang w:eastAsia="fr-FR"/>
              </w:rPr>
            </w:pPr>
            <w:r w:rsidRPr="00E943BF">
              <w:rPr>
                <w:rFonts w:ascii="Arial" w:eastAsia="Times New Roman" w:hAnsi="Arial" w:cs="Arial"/>
                <w:bCs/>
                <w:sz w:val="16"/>
                <w:szCs w:val="16"/>
                <w:lang w:eastAsia="fr-FR"/>
              </w:rPr>
              <w:t>Accueils de loisirs</w:t>
            </w:r>
          </w:p>
        </w:tc>
        <w:tc>
          <w:tcPr>
            <w:tcW w:w="1276" w:type="dxa"/>
            <w:tcBorders>
              <w:top w:val="nil"/>
              <w:bottom w:val="nil"/>
            </w:tcBorders>
          </w:tcPr>
          <w:p w14:paraId="7D9BD625" w14:textId="77777777" w:rsidR="00CE2DBC" w:rsidRPr="00E943BF" w:rsidRDefault="00CE2DBC" w:rsidP="00272C13">
            <w:pPr>
              <w:spacing w:before="60" w:after="60"/>
              <w:jc w:val="right"/>
              <w:outlineLvl w:val="1"/>
              <w:rPr>
                <w:rFonts w:ascii="Arial" w:eastAsia="Times New Roman" w:hAnsi="Arial" w:cs="Arial"/>
                <w:bCs/>
                <w:sz w:val="16"/>
                <w:szCs w:val="16"/>
                <w:lang w:eastAsia="fr-FR"/>
              </w:rPr>
            </w:pPr>
          </w:p>
        </w:tc>
        <w:tc>
          <w:tcPr>
            <w:tcW w:w="1276" w:type="dxa"/>
            <w:tcBorders>
              <w:top w:val="nil"/>
              <w:bottom w:val="nil"/>
            </w:tcBorders>
          </w:tcPr>
          <w:p w14:paraId="5E7331E4" w14:textId="77777777" w:rsidR="00CE2DBC" w:rsidRPr="00E943BF" w:rsidRDefault="00CE2DBC" w:rsidP="00272C13">
            <w:pPr>
              <w:spacing w:before="60" w:after="60"/>
              <w:jc w:val="right"/>
              <w:outlineLvl w:val="1"/>
              <w:rPr>
                <w:rFonts w:ascii="Arial" w:eastAsia="Times New Roman" w:hAnsi="Arial" w:cs="Arial"/>
                <w:bCs/>
                <w:sz w:val="16"/>
                <w:szCs w:val="16"/>
                <w:lang w:eastAsia="fr-FR"/>
              </w:rPr>
            </w:pPr>
          </w:p>
        </w:tc>
        <w:tc>
          <w:tcPr>
            <w:tcW w:w="1417" w:type="dxa"/>
            <w:tcBorders>
              <w:top w:val="nil"/>
              <w:bottom w:val="nil"/>
            </w:tcBorders>
          </w:tcPr>
          <w:p w14:paraId="044DD9C3" w14:textId="77777777" w:rsidR="00CE2DBC" w:rsidRPr="00E943BF" w:rsidRDefault="00E943B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220</w:t>
            </w:r>
          </w:p>
        </w:tc>
      </w:tr>
      <w:tr w:rsidR="00CE2DBC" w:rsidRPr="00E943BF" w14:paraId="0969832C" w14:textId="77777777" w:rsidTr="00D20234">
        <w:tc>
          <w:tcPr>
            <w:tcW w:w="675" w:type="dxa"/>
            <w:tcBorders>
              <w:top w:val="nil"/>
              <w:bottom w:val="nil"/>
              <w:right w:val="nil"/>
            </w:tcBorders>
          </w:tcPr>
          <w:p w14:paraId="76031753" w14:textId="77777777" w:rsidR="00CE2DBC" w:rsidRPr="00E943BF" w:rsidRDefault="00CE2DBC" w:rsidP="00CE2DBC">
            <w:pPr>
              <w:spacing w:before="60" w:after="60"/>
              <w:outlineLvl w:val="1"/>
              <w:rPr>
                <w:rFonts w:ascii="Arial" w:eastAsia="Times New Roman" w:hAnsi="Arial" w:cs="Arial"/>
                <w:bCs/>
                <w:sz w:val="16"/>
                <w:szCs w:val="16"/>
                <w:lang w:eastAsia="fr-FR"/>
              </w:rPr>
            </w:pPr>
          </w:p>
        </w:tc>
        <w:tc>
          <w:tcPr>
            <w:tcW w:w="5132" w:type="dxa"/>
            <w:tcBorders>
              <w:top w:val="nil"/>
              <w:left w:val="nil"/>
              <w:bottom w:val="nil"/>
            </w:tcBorders>
          </w:tcPr>
          <w:p w14:paraId="6FA2C1D6" w14:textId="77777777" w:rsidR="00CE2DBC" w:rsidRPr="00E943BF" w:rsidRDefault="00E943BF" w:rsidP="00CE2DBC">
            <w:pPr>
              <w:spacing w:before="60" w:after="60"/>
              <w:outlineLvl w:val="1"/>
              <w:rPr>
                <w:rFonts w:ascii="Arial" w:eastAsia="Times New Roman" w:hAnsi="Arial" w:cs="Arial"/>
                <w:bCs/>
                <w:sz w:val="16"/>
                <w:szCs w:val="16"/>
                <w:lang w:eastAsia="fr-FR"/>
              </w:rPr>
            </w:pPr>
            <w:r w:rsidRPr="00E943BF">
              <w:rPr>
                <w:rFonts w:ascii="Arial" w:eastAsia="Times New Roman" w:hAnsi="Arial" w:cs="Arial"/>
                <w:bCs/>
                <w:sz w:val="16"/>
                <w:szCs w:val="16"/>
                <w:lang w:eastAsia="fr-FR"/>
              </w:rPr>
              <w:t>Maison des jeunes et de la culture</w:t>
            </w:r>
          </w:p>
        </w:tc>
        <w:tc>
          <w:tcPr>
            <w:tcW w:w="1276" w:type="dxa"/>
            <w:tcBorders>
              <w:top w:val="nil"/>
              <w:bottom w:val="nil"/>
            </w:tcBorders>
          </w:tcPr>
          <w:p w14:paraId="51F32427" w14:textId="77777777" w:rsidR="00CE2DBC" w:rsidRPr="00E943BF" w:rsidRDefault="00CE2DBC" w:rsidP="00272C13">
            <w:pPr>
              <w:spacing w:before="60" w:after="60"/>
              <w:jc w:val="right"/>
              <w:outlineLvl w:val="1"/>
              <w:rPr>
                <w:rFonts w:ascii="Arial" w:eastAsia="Times New Roman" w:hAnsi="Arial" w:cs="Arial"/>
                <w:bCs/>
                <w:sz w:val="16"/>
                <w:szCs w:val="16"/>
                <w:lang w:eastAsia="fr-FR"/>
              </w:rPr>
            </w:pPr>
          </w:p>
        </w:tc>
        <w:tc>
          <w:tcPr>
            <w:tcW w:w="1276" w:type="dxa"/>
            <w:tcBorders>
              <w:top w:val="nil"/>
              <w:bottom w:val="nil"/>
            </w:tcBorders>
          </w:tcPr>
          <w:p w14:paraId="77BEDE48" w14:textId="77777777" w:rsidR="00E943BF" w:rsidRPr="00E943BF" w:rsidRDefault="00E943BF" w:rsidP="00E943BF">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130</w:t>
            </w:r>
          </w:p>
        </w:tc>
        <w:tc>
          <w:tcPr>
            <w:tcW w:w="1417" w:type="dxa"/>
            <w:tcBorders>
              <w:top w:val="nil"/>
              <w:bottom w:val="nil"/>
            </w:tcBorders>
          </w:tcPr>
          <w:p w14:paraId="7062627F" w14:textId="77777777" w:rsidR="00CE2DBC" w:rsidRPr="00E943BF" w:rsidRDefault="00E943B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130</w:t>
            </w:r>
          </w:p>
        </w:tc>
      </w:tr>
      <w:tr w:rsidR="00CE2DBC" w:rsidRPr="00E943BF" w14:paraId="5CEBA308" w14:textId="77777777" w:rsidTr="00D20234">
        <w:tc>
          <w:tcPr>
            <w:tcW w:w="675" w:type="dxa"/>
            <w:tcBorders>
              <w:top w:val="nil"/>
              <w:right w:val="nil"/>
            </w:tcBorders>
          </w:tcPr>
          <w:p w14:paraId="2FD9EB27" w14:textId="77777777" w:rsidR="00CE2DBC" w:rsidRPr="00E943BF" w:rsidRDefault="00CE2DBC" w:rsidP="00CE2DBC">
            <w:pPr>
              <w:spacing w:before="60" w:after="60"/>
              <w:outlineLvl w:val="1"/>
              <w:rPr>
                <w:rFonts w:ascii="Arial" w:eastAsia="Times New Roman" w:hAnsi="Arial" w:cs="Arial"/>
                <w:bCs/>
                <w:sz w:val="16"/>
                <w:szCs w:val="16"/>
                <w:lang w:eastAsia="fr-FR"/>
              </w:rPr>
            </w:pPr>
          </w:p>
        </w:tc>
        <w:tc>
          <w:tcPr>
            <w:tcW w:w="5132" w:type="dxa"/>
            <w:tcBorders>
              <w:top w:val="nil"/>
              <w:left w:val="nil"/>
            </w:tcBorders>
          </w:tcPr>
          <w:p w14:paraId="561F0B89" w14:textId="77777777" w:rsidR="00CE2DBC" w:rsidRPr="00E943BF" w:rsidRDefault="00E943BF" w:rsidP="00CE2DBC">
            <w:pPr>
              <w:spacing w:before="60" w:after="60"/>
              <w:outlineLvl w:val="1"/>
              <w:rPr>
                <w:rFonts w:ascii="Arial" w:eastAsia="Times New Roman" w:hAnsi="Arial" w:cs="Arial"/>
                <w:bCs/>
                <w:sz w:val="16"/>
                <w:szCs w:val="16"/>
                <w:lang w:eastAsia="fr-FR"/>
              </w:rPr>
            </w:pPr>
            <w:r w:rsidRPr="00E943BF">
              <w:rPr>
                <w:rFonts w:ascii="Arial" w:eastAsia="Times New Roman" w:hAnsi="Arial" w:cs="Arial"/>
                <w:bCs/>
                <w:sz w:val="16"/>
                <w:szCs w:val="16"/>
                <w:lang w:eastAsia="fr-FR"/>
              </w:rPr>
              <w:t>Crèches</w:t>
            </w:r>
          </w:p>
        </w:tc>
        <w:tc>
          <w:tcPr>
            <w:tcW w:w="1276" w:type="dxa"/>
            <w:tcBorders>
              <w:top w:val="nil"/>
            </w:tcBorders>
          </w:tcPr>
          <w:p w14:paraId="000A74D8" w14:textId="77777777" w:rsidR="00CE2DBC" w:rsidRPr="00E943BF" w:rsidRDefault="00CE2DBC" w:rsidP="00272C13">
            <w:pPr>
              <w:spacing w:before="60" w:after="60"/>
              <w:jc w:val="right"/>
              <w:outlineLvl w:val="1"/>
              <w:rPr>
                <w:rFonts w:ascii="Arial" w:eastAsia="Times New Roman" w:hAnsi="Arial" w:cs="Arial"/>
                <w:bCs/>
                <w:sz w:val="16"/>
                <w:szCs w:val="16"/>
                <w:lang w:eastAsia="fr-FR"/>
              </w:rPr>
            </w:pPr>
          </w:p>
        </w:tc>
        <w:tc>
          <w:tcPr>
            <w:tcW w:w="1276" w:type="dxa"/>
            <w:tcBorders>
              <w:top w:val="nil"/>
            </w:tcBorders>
          </w:tcPr>
          <w:p w14:paraId="2C312F6D" w14:textId="77777777" w:rsidR="00CE2DBC" w:rsidRPr="00E943BF" w:rsidRDefault="00E943B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131</w:t>
            </w:r>
          </w:p>
        </w:tc>
        <w:tc>
          <w:tcPr>
            <w:tcW w:w="1417" w:type="dxa"/>
            <w:tcBorders>
              <w:top w:val="nil"/>
            </w:tcBorders>
          </w:tcPr>
          <w:p w14:paraId="75F541D6" w14:textId="77777777" w:rsidR="00CE2DBC" w:rsidRPr="00E943BF" w:rsidRDefault="00E943B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100</w:t>
            </w:r>
          </w:p>
        </w:tc>
      </w:tr>
      <w:tr w:rsidR="00CE2DBC" w:rsidRPr="00CE2DBC" w14:paraId="5AFF14EB" w14:textId="77777777" w:rsidTr="00D20234">
        <w:tc>
          <w:tcPr>
            <w:tcW w:w="5807" w:type="dxa"/>
            <w:gridSpan w:val="2"/>
            <w:tcBorders>
              <w:bottom w:val="single" w:sz="4" w:space="0" w:color="000000" w:themeColor="text1"/>
            </w:tcBorders>
          </w:tcPr>
          <w:p w14:paraId="56DA4026" w14:textId="77777777" w:rsidR="00CE2DBC" w:rsidRPr="00CE2DBC" w:rsidRDefault="00CE2DBC" w:rsidP="00CE2DBC">
            <w:pPr>
              <w:spacing w:before="60" w:after="60"/>
              <w:outlineLvl w:val="1"/>
              <w:rPr>
                <w:rFonts w:ascii="Arial" w:eastAsia="Times New Roman" w:hAnsi="Arial" w:cs="Arial"/>
                <w:b/>
                <w:bCs/>
                <w:sz w:val="16"/>
                <w:szCs w:val="16"/>
                <w:lang w:eastAsia="fr-FR"/>
              </w:rPr>
            </w:pPr>
            <w:r w:rsidRPr="00CE2DBC">
              <w:rPr>
                <w:rFonts w:ascii="Arial" w:eastAsia="Times New Roman" w:hAnsi="Arial" w:cs="Arial"/>
                <w:b/>
                <w:bCs/>
                <w:sz w:val="16"/>
                <w:szCs w:val="16"/>
                <w:lang w:eastAsia="fr-FR"/>
              </w:rPr>
              <w:t>Nouveaux équipements publics</w:t>
            </w:r>
          </w:p>
        </w:tc>
        <w:tc>
          <w:tcPr>
            <w:tcW w:w="1276" w:type="dxa"/>
            <w:tcBorders>
              <w:bottom w:val="single" w:sz="4" w:space="0" w:color="000000" w:themeColor="text1"/>
            </w:tcBorders>
          </w:tcPr>
          <w:p w14:paraId="0DDBCE45" w14:textId="77777777" w:rsidR="00CE2DBC" w:rsidRPr="00CE2DBC" w:rsidRDefault="00E943BF" w:rsidP="00272C13">
            <w:pPr>
              <w:spacing w:before="60" w:after="60"/>
              <w:jc w:val="right"/>
              <w:outlineLvl w:val="1"/>
              <w:rPr>
                <w:rFonts w:ascii="Arial" w:eastAsia="Times New Roman" w:hAnsi="Arial" w:cs="Arial"/>
                <w:b/>
                <w:bCs/>
                <w:sz w:val="16"/>
                <w:szCs w:val="16"/>
                <w:lang w:eastAsia="fr-FR"/>
              </w:rPr>
            </w:pPr>
            <w:r>
              <w:rPr>
                <w:rFonts w:ascii="Arial" w:eastAsia="Times New Roman" w:hAnsi="Arial" w:cs="Arial"/>
                <w:b/>
                <w:bCs/>
                <w:sz w:val="16"/>
                <w:szCs w:val="16"/>
                <w:lang w:eastAsia="fr-FR"/>
              </w:rPr>
              <w:t>275</w:t>
            </w:r>
          </w:p>
        </w:tc>
        <w:tc>
          <w:tcPr>
            <w:tcW w:w="1276" w:type="dxa"/>
            <w:tcBorders>
              <w:bottom w:val="single" w:sz="4" w:space="0" w:color="000000" w:themeColor="text1"/>
            </w:tcBorders>
          </w:tcPr>
          <w:p w14:paraId="4484E616" w14:textId="77777777" w:rsidR="00CE2DBC" w:rsidRPr="00CE2DBC" w:rsidRDefault="00E943BF" w:rsidP="00272C13">
            <w:pPr>
              <w:spacing w:before="60" w:after="60"/>
              <w:jc w:val="right"/>
              <w:outlineLvl w:val="1"/>
              <w:rPr>
                <w:rFonts w:ascii="Arial" w:eastAsia="Times New Roman" w:hAnsi="Arial" w:cs="Arial"/>
                <w:b/>
                <w:bCs/>
                <w:sz w:val="16"/>
                <w:szCs w:val="16"/>
                <w:lang w:eastAsia="fr-FR"/>
              </w:rPr>
            </w:pPr>
            <w:r>
              <w:rPr>
                <w:rFonts w:ascii="Arial" w:eastAsia="Times New Roman" w:hAnsi="Arial" w:cs="Arial"/>
                <w:b/>
                <w:bCs/>
                <w:sz w:val="16"/>
                <w:szCs w:val="16"/>
                <w:lang w:eastAsia="fr-FR"/>
              </w:rPr>
              <w:t>1 830</w:t>
            </w:r>
          </w:p>
        </w:tc>
        <w:tc>
          <w:tcPr>
            <w:tcW w:w="1417" w:type="dxa"/>
            <w:tcBorders>
              <w:bottom w:val="single" w:sz="4" w:space="0" w:color="000000" w:themeColor="text1"/>
            </w:tcBorders>
          </w:tcPr>
          <w:p w14:paraId="397BBC99" w14:textId="77777777" w:rsidR="00CE2DBC" w:rsidRPr="00CE2DBC" w:rsidRDefault="00E943BF" w:rsidP="00272C13">
            <w:pPr>
              <w:spacing w:before="60" w:after="60"/>
              <w:jc w:val="right"/>
              <w:outlineLvl w:val="1"/>
              <w:rPr>
                <w:rFonts w:ascii="Arial" w:eastAsia="Times New Roman" w:hAnsi="Arial" w:cs="Arial"/>
                <w:b/>
                <w:bCs/>
                <w:sz w:val="16"/>
                <w:szCs w:val="16"/>
                <w:lang w:eastAsia="fr-FR"/>
              </w:rPr>
            </w:pPr>
            <w:r>
              <w:rPr>
                <w:rFonts w:ascii="Arial" w:eastAsia="Times New Roman" w:hAnsi="Arial" w:cs="Arial"/>
                <w:b/>
                <w:bCs/>
                <w:sz w:val="16"/>
                <w:szCs w:val="16"/>
                <w:lang w:eastAsia="fr-FR"/>
              </w:rPr>
              <w:t>3 630</w:t>
            </w:r>
          </w:p>
        </w:tc>
      </w:tr>
      <w:tr w:rsidR="00CE2DBC" w:rsidRPr="00CE2DBC" w14:paraId="133EB0E2" w14:textId="77777777" w:rsidTr="00D20234">
        <w:tc>
          <w:tcPr>
            <w:tcW w:w="675" w:type="dxa"/>
            <w:tcBorders>
              <w:bottom w:val="nil"/>
              <w:right w:val="nil"/>
            </w:tcBorders>
          </w:tcPr>
          <w:p w14:paraId="06D26553" w14:textId="77777777" w:rsidR="00CE2DBC" w:rsidRPr="00CE2DBC" w:rsidRDefault="00CE2DBC" w:rsidP="00E943BF">
            <w:pPr>
              <w:spacing w:before="60" w:after="60"/>
              <w:outlineLvl w:val="1"/>
              <w:rPr>
                <w:rFonts w:ascii="Arial" w:eastAsia="Times New Roman" w:hAnsi="Arial" w:cs="Arial"/>
                <w:bCs/>
                <w:sz w:val="16"/>
                <w:szCs w:val="16"/>
                <w:lang w:eastAsia="fr-FR"/>
              </w:rPr>
            </w:pPr>
            <w:proofErr w:type="gramStart"/>
            <w:r w:rsidRPr="00CE2DBC">
              <w:rPr>
                <w:rFonts w:ascii="Arial" w:eastAsia="Times New Roman" w:hAnsi="Arial" w:cs="Arial"/>
                <w:bCs/>
                <w:sz w:val="16"/>
                <w:szCs w:val="16"/>
                <w:lang w:eastAsia="fr-FR"/>
              </w:rPr>
              <w:t>dont</w:t>
            </w:r>
            <w:proofErr w:type="gramEnd"/>
          </w:p>
        </w:tc>
        <w:tc>
          <w:tcPr>
            <w:tcW w:w="5132" w:type="dxa"/>
            <w:tcBorders>
              <w:left w:val="nil"/>
              <w:bottom w:val="nil"/>
            </w:tcBorders>
          </w:tcPr>
          <w:p w14:paraId="5085CE7C" w14:textId="77777777" w:rsidR="00CE2DBC" w:rsidRPr="00CE2DBC" w:rsidRDefault="00E943BF" w:rsidP="00E943BF">
            <w:pPr>
              <w:spacing w:before="60" w:after="60"/>
              <w:outlineLvl w:val="1"/>
              <w:rPr>
                <w:rFonts w:ascii="Arial" w:eastAsia="Times New Roman" w:hAnsi="Arial" w:cs="Arial"/>
                <w:bCs/>
                <w:sz w:val="16"/>
                <w:szCs w:val="16"/>
                <w:lang w:eastAsia="fr-FR"/>
              </w:rPr>
            </w:pPr>
            <w:r>
              <w:rPr>
                <w:rFonts w:ascii="Arial" w:eastAsia="Times New Roman" w:hAnsi="Arial" w:cs="Arial"/>
                <w:bCs/>
                <w:sz w:val="16"/>
                <w:szCs w:val="16"/>
                <w:lang w:eastAsia="fr-FR"/>
              </w:rPr>
              <w:t>Réhabilitation du groupe scolaire Pasteur-Roux</w:t>
            </w:r>
          </w:p>
        </w:tc>
        <w:tc>
          <w:tcPr>
            <w:tcW w:w="1276" w:type="dxa"/>
            <w:tcBorders>
              <w:bottom w:val="nil"/>
            </w:tcBorders>
          </w:tcPr>
          <w:p w14:paraId="384F40C4" w14:textId="77777777" w:rsidR="00CE2DBC" w:rsidRPr="00CE2DBC" w:rsidRDefault="00CB1846" w:rsidP="00E943BF">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275</w:t>
            </w:r>
          </w:p>
        </w:tc>
        <w:tc>
          <w:tcPr>
            <w:tcW w:w="1276" w:type="dxa"/>
            <w:tcBorders>
              <w:bottom w:val="nil"/>
            </w:tcBorders>
          </w:tcPr>
          <w:p w14:paraId="53747140" w14:textId="77777777" w:rsidR="00CE2DBC" w:rsidRPr="00CE2DBC" w:rsidRDefault="00E943BF" w:rsidP="00E943BF">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1 630</w:t>
            </w:r>
          </w:p>
        </w:tc>
        <w:tc>
          <w:tcPr>
            <w:tcW w:w="1417" w:type="dxa"/>
            <w:tcBorders>
              <w:bottom w:val="nil"/>
            </w:tcBorders>
          </w:tcPr>
          <w:p w14:paraId="35297A1E" w14:textId="77777777" w:rsidR="00CE2DBC" w:rsidRPr="00CE2DBC" w:rsidRDefault="00E943BF" w:rsidP="00E943BF">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3 630</w:t>
            </w:r>
          </w:p>
        </w:tc>
      </w:tr>
      <w:tr w:rsidR="00CE2DBC" w:rsidRPr="00E943BF" w14:paraId="3481D15E" w14:textId="77777777" w:rsidTr="00D20234">
        <w:tc>
          <w:tcPr>
            <w:tcW w:w="675" w:type="dxa"/>
            <w:tcBorders>
              <w:top w:val="nil"/>
              <w:right w:val="nil"/>
            </w:tcBorders>
          </w:tcPr>
          <w:p w14:paraId="67149BBA" w14:textId="77777777" w:rsidR="00CE2DBC" w:rsidRPr="00E943BF" w:rsidRDefault="00CE2DBC" w:rsidP="00E943BF">
            <w:pPr>
              <w:spacing w:before="60" w:after="60"/>
              <w:outlineLvl w:val="1"/>
              <w:rPr>
                <w:rFonts w:ascii="Arial" w:eastAsia="Times New Roman" w:hAnsi="Arial" w:cs="Arial"/>
                <w:bCs/>
                <w:sz w:val="16"/>
                <w:szCs w:val="16"/>
                <w:lang w:eastAsia="fr-FR"/>
              </w:rPr>
            </w:pPr>
          </w:p>
        </w:tc>
        <w:tc>
          <w:tcPr>
            <w:tcW w:w="5132" w:type="dxa"/>
            <w:tcBorders>
              <w:top w:val="nil"/>
              <w:left w:val="nil"/>
            </w:tcBorders>
          </w:tcPr>
          <w:p w14:paraId="1CA70F4E" w14:textId="77777777" w:rsidR="00CE2DBC" w:rsidRPr="00E943BF" w:rsidRDefault="00E943BF" w:rsidP="00E943BF">
            <w:pPr>
              <w:spacing w:before="60" w:after="60"/>
              <w:outlineLvl w:val="1"/>
              <w:rPr>
                <w:rFonts w:ascii="Arial" w:eastAsia="Times New Roman" w:hAnsi="Arial" w:cs="Arial"/>
                <w:bCs/>
                <w:sz w:val="16"/>
                <w:szCs w:val="16"/>
                <w:lang w:eastAsia="fr-FR"/>
              </w:rPr>
            </w:pPr>
            <w:r w:rsidRPr="00E943BF">
              <w:rPr>
                <w:rFonts w:ascii="Arial" w:eastAsia="Times New Roman" w:hAnsi="Arial" w:cs="Arial"/>
                <w:bCs/>
                <w:sz w:val="16"/>
                <w:szCs w:val="16"/>
                <w:lang w:eastAsia="fr-FR"/>
              </w:rPr>
              <w:t>Locaux de la police municipale</w:t>
            </w:r>
          </w:p>
        </w:tc>
        <w:tc>
          <w:tcPr>
            <w:tcW w:w="1276" w:type="dxa"/>
            <w:tcBorders>
              <w:top w:val="nil"/>
            </w:tcBorders>
          </w:tcPr>
          <w:p w14:paraId="5002E9EB" w14:textId="77777777" w:rsidR="00CE2DBC" w:rsidRPr="00E943BF" w:rsidRDefault="00CE2DBC" w:rsidP="00E943BF">
            <w:pPr>
              <w:spacing w:before="60" w:after="60"/>
              <w:jc w:val="right"/>
              <w:outlineLvl w:val="1"/>
              <w:rPr>
                <w:rFonts w:ascii="Arial" w:eastAsia="Times New Roman" w:hAnsi="Arial" w:cs="Arial"/>
                <w:bCs/>
                <w:sz w:val="16"/>
                <w:szCs w:val="16"/>
                <w:lang w:eastAsia="fr-FR"/>
              </w:rPr>
            </w:pPr>
          </w:p>
        </w:tc>
        <w:tc>
          <w:tcPr>
            <w:tcW w:w="1276" w:type="dxa"/>
            <w:tcBorders>
              <w:top w:val="nil"/>
            </w:tcBorders>
          </w:tcPr>
          <w:p w14:paraId="1AD4BA42" w14:textId="77777777" w:rsidR="00CE2DBC" w:rsidRPr="00E943BF" w:rsidRDefault="00E943BF" w:rsidP="00E943BF">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200</w:t>
            </w:r>
          </w:p>
        </w:tc>
        <w:tc>
          <w:tcPr>
            <w:tcW w:w="1417" w:type="dxa"/>
            <w:tcBorders>
              <w:top w:val="nil"/>
            </w:tcBorders>
          </w:tcPr>
          <w:p w14:paraId="6DFA404E" w14:textId="77777777" w:rsidR="00CE2DBC" w:rsidRPr="00E943BF" w:rsidRDefault="00CE2DBC" w:rsidP="00E943BF">
            <w:pPr>
              <w:spacing w:before="60" w:after="60"/>
              <w:jc w:val="right"/>
              <w:outlineLvl w:val="1"/>
              <w:rPr>
                <w:rFonts w:ascii="Arial" w:eastAsia="Times New Roman" w:hAnsi="Arial" w:cs="Arial"/>
                <w:bCs/>
                <w:sz w:val="16"/>
                <w:szCs w:val="16"/>
                <w:lang w:eastAsia="fr-FR"/>
              </w:rPr>
            </w:pPr>
          </w:p>
        </w:tc>
      </w:tr>
      <w:tr w:rsidR="00CE2DBC" w:rsidRPr="00CE2DBC" w14:paraId="2B1CCEB5" w14:textId="77777777" w:rsidTr="00D20234">
        <w:tc>
          <w:tcPr>
            <w:tcW w:w="5807" w:type="dxa"/>
            <w:gridSpan w:val="2"/>
            <w:tcBorders>
              <w:bottom w:val="single" w:sz="4" w:space="0" w:color="000000" w:themeColor="text1"/>
            </w:tcBorders>
          </w:tcPr>
          <w:p w14:paraId="7349E5AD" w14:textId="77777777" w:rsidR="00CE2DBC" w:rsidRPr="00CE2DBC" w:rsidRDefault="00CE2DBC" w:rsidP="00CE2DBC">
            <w:pPr>
              <w:spacing w:before="60" w:after="60"/>
              <w:outlineLvl w:val="1"/>
              <w:rPr>
                <w:rFonts w:ascii="Arial" w:eastAsia="Times New Roman" w:hAnsi="Arial" w:cs="Arial"/>
                <w:b/>
                <w:bCs/>
                <w:sz w:val="16"/>
                <w:szCs w:val="16"/>
                <w:lang w:eastAsia="fr-FR"/>
              </w:rPr>
            </w:pPr>
            <w:r>
              <w:rPr>
                <w:rFonts w:ascii="Arial" w:eastAsia="Times New Roman" w:hAnsi="Arial" w:cs="Arial"/>
                <w:b/>
                <w:bCs/>
                <w:sz w:val="16"/>
                <w:szCs w:val="16"/>
                <w:lang w:eastAsia="fr-FR"/>
              </w:rPr>
              <w:t>Aménagements urbains</w:t>
            </w:r>
          </w:p>
        </w:tc>
        <w:tc>
          <w:tcPr>
            <w:tcW w:w="1276" w:type="dxa"/>
            <w:tcBorders>
              <w:bottom w:val="single" w:sz="4" w:space="0" w:color="000000" w:themeColor="text1"/>
            </w:tcBorders>
          </w:tcPr>
          <w:p w14:paraId="74FD1894" w14:textId="77777777" w:rsidR="00CE2DBC" w:rsidRPr="00CE2DBC" w:rsidRDefault="00E943BF" w:rsidP="00272C13">
            <w:pPr>
              <w:spacing w:before="60" w:after="60"/>
              <w:jc w:val="right"/>
              <w:outlineLvl w:val="1"/>
              <w:rPr>
                <w:rFonts w:ascii="Arial" w:eastAsia="Times New Roman" w:hAnsi="Arial" w:cs="Arial"/>
                <w:b/>
                <w:bCs/>
                <w:sz w:val="16"/>
                <w:szCs w:val="16"/>
                <w:lang w:eastAsia="fr-FR"/>
              </w:rPr>
            </w:pPr>
            <w:r>
              <w:rPr>
                <w:rFonts w:ascii="Arial" w:eastAsia="Times New Roman" w:hAnsi="Arial" w:cs="Arial"/>
                <w:b/>
                <w:bCs/>
                <w:sz w:val="16"/>
                <w:szCs w:val="16"/>
                <w:lang w:eastAsia="fr-FR"/>
              </w:rPr>
              <w:t>610</w:t>
            </w:r>
          </w:p>
        </w:tc>
        <w:tc>
          <w:tcPr>
            <w:tcW w:w="1276" w:type="dxa"/>
            <w:tcBorders>
              <w:bottom w:val="single" w:sz="4" w:space="0" w:color="000000" w:themeColor="text1"/>
            </w:tcBorders>
          </w:tcPr>
          <w:p w14:paraId="2CA4D3FD" w14:textId="77777777" w:rsidR="00CE2DBC" w:rsidRPr="00CE2DBC" w:rsidRDefault="00E943BF" w:rsidP="00272C13">
            <w:pPr>
              <w:spacing w:before="60" w:after="60"/>
              <w:jc w:val="right"/>
              <w:outlineLvl w:val="1"/>
              <w:rPr>
                <w:rFonts w:ascii="Arial" w:eastAsia="Times New Roman" w:hAnsi="Arial" w:cs="Arial"/>
                <w:b/>
                <w:bCs/>
                <w:sz w:val="16"/>
                <w:szCs w:val="16"/>
                <w:lang w:eastAsia="fr-FR"/>
              </w:rPr>
            </w:pPr>
            <w:r>
              <w:rPr>
                <w:rFonts w:ascii="Arial" w:eastAsia="Times New Roman" w:hAnsi="Arial" w:cs="Arial"/>
                <w:b/>
                <w:bCs/>
                <w:sz w:val="16"/>
                <w:szCs w:val="16"/>
                <w:lang w:eastAsia="fr-FR"/>
              </w:rPr>
              <w:t>300</w:t>
            </w:r>
          </w:p>
        </w:tc>
        <w:tc>
          <w:tcPr>
            <w:tcW w:w="1417" w:type="dxa"/>
            <w:tcBorders>
              <w:bottom w:val="single" w:sz="4" w:space="0" w:color="000000" w:themeColor="text1"/>
            </w:tcBorders>
          </w:tcPr>
          <w:p w14:paraId="4A654BE1" w14:textId="77777777" w:rsidR="00CE2DBC" w:rsidRPr="00CE2DBC" w:rsidRDefault="00E943BF" w:rsidP="00272C13">
            <w:pPr>
              <w:spacing w:before="60" w:after="60"/>
              <w:jc w:val="right"/>
              <w:outlineLvl w:val="1"/>
              <w:rPr>
                <w:rFonts w:ascii="Arial" w:eastAsia="Times New Roman" w:hAnsi="Arial" w:cs="Arial"/>
                <w:b/>
                <w:bCs/>
                <w:sz w:val="16"/>
                <w:szCs w:val="16"/>
                <w:lang w:eastAsia="fr-FR"/>
              </w:rPr>
            </w:pPr>
            <w:r>
              <w:rPr>
                <w:rFonts w:ascii="Arial" w:eastAsia="Times New Roman" w:hAnsi="Arial" w:cs="Arial"/>
                <w:b/>
                <w:bCs/>
                <w:sz w:val="16"/>
                <w:szCs w:val="16"/>
                <w:lang w:eastAsia="fr-FR"/>
              </w:rPr>
              <w:t>600</w:t>
            </w:r>
          </w:p>
        </w:tc>
      </w:tr>
      <w:tr w:rsidR="00CE2DBC" w:rsidRPr="00CE2DBC" w14:paraId="12F8E2D7" w14:textId="77777777" w:rsidTr="00D20234">
        <w:tc>
          <w:tcPr>
            <w:tcW w:w="675" w:type="dxa"/>
            <w:tcBorders>
              <w:bottom w:val="nil"/>
              <w:right w:val="nil"/>
            </w:tcBorders>
          </w:tcPr>
          <w:p w14:paraId="0B32B2AD" w14:textId="77777777" w:rsidR="00CE2DBC" w:rsidRPr="00CE2DBC" w:rsidRDefault="00CE2DBC" w:rsidP="00CE2DBC">
            <w:pPr>
              <w:spacing w:before="60" w:after="60"/>
              <w:outlineLvl w:val="1"/>
              <w:rPr>
                <w:rFonts w:ascii="Arial" w:eastAsia="Times New Roman" w:hAnsi="Arial" w:cs="Arial"/>
                <w:bCs/>
                <w:sz w:val="16"/>
                <w:szCs w:val="16"/>
                <w:lang w:eastAsia="fr-FR"/>
              </w:rPr>
            </w:pPr>
            <w:proofErr w:type="gramStart"/>
            <w:r w:rsidRPr="00CE2DBC">
              <w:rPr>
                <w:rFonts w:ascii="Arial" w:eastAsia="Times New Roman" w:hAnsi="Arial" w:cs="Arial"/>
                <w:bCs/>
                <w:sz w:val="16"/>
                <w:szCs w:val="16"/>
                <w:lang w:eastAsia="fr-FR"/>
              </w:rPr>
              <w:t>dont</w:t>
            </w:r>
            <w:proofErr w:type="gramEnd"/>
          </w:p>
        </w:tc>
        <w:tc>
          <w:tcPr>
            <w:tcW w:w="5132" w:type="dxa"/>
            <w:tcBorders>
              <w:left w:val="nil"/>
              <w:bottom w:val="nil"/>
            </w:tcBorders>
          </w:tcPr>
          <w:p w14:paraId="32FD3DD0" w14:textId="77777777" w:rsidR="00CE2DBC" w:rsidRPr="00CE2DBC" w:rsidRDefault="00E943BF" w:rsidP="00CE2DBC">
            <w:pPr>
              <w:spacing w:before="60" w:after="60"/>
              <w:outlineLvl w:val="1"/>
              <w:rPr>
                <w:rFonts w:ascii="Arial" w:eastAsia="Times New Roman" w:hAnsi="Arial" w:cs="Arial"/>
                <w:bCs/>
                <w:sz w:val="16"/>
                <w:szCs w:val="16"/>
                <w:lang w:eastAsia="fr-FR"/>
              </w:rPr>
            </w:pPr>
            <w:r>
              <w:rPr>
                <w:rFonts w:ascii="Arial" w:eastAsia="Times New Roman" w:hAnsi="Arial" w:cs="Arial"/>
                <w:bCs/>
                <w:sz w:val="16"/>
                <w:szCs w:val="16"/>
                <w:lang w:eastAsia="fr-FR"/>
              </w:rPr>
              <w:t>Réhabilitation du parc des sports</w:t>
            </w:r>
          </w:p>
        </w:tc>
        <w:tc>
          <w:tcPr>
            <w:tcW w:w="1276" w:type="dxa"/>
            <w:tcBorders>
              <w:bottom w:val="nil"/>
            </w:tcBorders>
          </w:tcPr>
          <w:p w14:paraId="3839196C" w14:textId="77777777" w:rsidR="00CE2DBC" w:rsidRPr="00CE2DBC" w:rsidRDefault="00E943B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50</w:t>
            </w:r>
          </w:p>
        </w:tc>
        <w:tc>
          <w:tcPr>
            <w:tcW w:w="1276" w:type="dxa"/>
            <w:tcBorders>
              <w:bottom w:val="nil"/>
            </w:tcBorders>
          </w:tcPr>
          <w:p w14:paraId="01911B4E" w14:textId="77777777" w:rsidR="00CE2DBC" w:rsidRPr="00CE2DBC" w:rsidRDefault="00E943B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200</w:t>
            </w:r>
          </w:p>
        </w:tc>
        <w:tc>
          <w:tcPr>
            <w:tcW w:w="1417" w:type="dxa"/>
            <w:tcBorders>
              <w:bottom w:val="nil"/>
            </w:tcBorders>
          </w:tcPr>
          <w:p w14:paraId="36D1355C" w14:textId="77777777" w:rsidR="00CE2DBC" w:rsidRPr="00CE2DBC" w:rsidRDefault="00E943B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500</w:t>
            </w:r>
          </w:p>
        </w:tc>
      </w:tr>
      <w:tr w:rsidR="00CE2DBC" w:rsidRPr="00E943BF" w14:paraId="4E8D36A2" w14:textId="77777777" w:rsidTr="00D20234">
        <w:tc>
          <w:tcPr>
            <w:tcW w:w="675" w:type="dxa"/>
            <w:tcBorders>
              <w:top w:val="nil"/>
              <w:bottom w:val="nil"/>
              <w:right w:val="nil"/>
            </w:tcBorders>
          </w:tcPr>
          <w:p w14:paraId="71231DEE" w14:textId="77777777" w:rsidR="00CE2DBC" w:rsidRPr="00E943BF" w:rsidRDefault="00CE2DBC" w:rsidP="00CE2DBC">
            <w:pPr>
              <w:spacing w:before="60" w:after="60"/>
              <w:outlineLvl w:val="1"/>
              <w:rPr>
                <w:rFonts w:ascii="Arial" w:eastAsia="Times New Roman" w:hAnsi="Arial" w:cs="Arial"/>
                <w:bCs/>
                <w:sz w:val="16"/>
                <w:szCs w:val="16"/>
                <w:lang w:eastAsia="fr-FR"/>
              </w:rPr>
            </w:pPr>
          </w:p>
        </w:tc>
        <w:tc>
          <w:tcPr>
            <w:tcW w:w="5132" w:type="dxa"/>
            <w:tcBorders>
              <w:top w:val="nil"/>
              <w:left w:val="nil"/>
              <w:bottom w:val="nil"/>
            </w:tcBorders>
          </w:tcPr>
          <w:p w14:paraId="6B402CC4" w14:textId="77777777" w:rsidR="00CE2DBC" w:rsidRPr="00E943BF" w:rsidRDefault="00E943BF" w:rsidP="00CE2DBC">
            <w:pPr>
              <w:spacing w:before="60" w:after="60"/>
              <w:outlineLvl w:val="1"/>
              <w:rPr>
                <w:rFonts w:ascii="Arial" w:eastAsia="Times New Roman" w:hAnsi="Arial" w:cs="Arial"/>
                <w:bCs/>
                <w:sz w:val="16"/>
                <w:szCs w:val="16"/>
                <w:lang w:eastAsia="fr-FR"/>
              </w:rPr>
            </w:pPr>
            <w:r w:rsidRPr="00E943BF">
              <w:rPr>
                <w:rFonts w:ascii="Arial" w:eastAsia="Times New Roman" w:hAnsi="Arial" w:cs="Arial"/>
                <w:bCs/>
                <w:sz w:val="16"/>
                <w:szCs w:val="16"/>
                <w:lang w:eastAsia="fr-FR"/>
              </w:rPr>
              <w:t xml:space="preserve">Ilot Roper, bâtiment 8 de la ferme de </w:t>
            </w:r>
            <w:proofErr w:type="spellStart"/>
            <w:r w:rsidRPr="00E943BF">
              <w:rPr>
                <w:rFonts w:ascii="Arial" w:eastAsia="Times New Roman" w:hAnsi="Arial" w:cs="Arial"/>
                <w:bCs/>
                <w:sz w:val="16"/>
                <w:szCs w:val="16"/>
                <w:lang w:eastAsia="fr-FR"/>
              </w:rPr>
              <w:t>Cottinville</w:t>
            </w:r>
            <w:proofErr w:type="spellEnd"/>
          </w:p>
        </w:tc>
        <w:tc>
          <w:tcPr>
            <w:tcW w:w="1276" w:type="dxa"/>
            <w:tcBorders>
              <w:top w:val="nil"/>
              <w:bottom w:val="nil"/>
            </w:tcBorders>
          </w:tcPr>
          <w:p w14:paraId="18025E68" w14:textId="77777777" w:rsidR="00CE2DBC" w:rsidRPr="00E943BF" w:rsidRDefault="00E943B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40</w:t>
            </w:r>
          </w:p>
        </w:tc>
        <w:tc>
          <w:tcPr>
            <w:tcW w:w="1276" w:type="dxa"/>
            <w:tcBorders>
              <w:top w:val="nil"/>
              <w:bottom w:val="nil"/>
            </w:tcBorders>
          </w:tcPr>
          <w:p w14:paraId="2DEC715B" w14:textId="77777777" w:rsidR="00CE2DBC" w:rsidRPr="00E943BF" w:rsidRDefault="00CE2DBC" w:rsidP="00272C13">
            <w:pPr>
              <w:spacing w:before="60" w:after="60"/>
              <w:jc w:val="right"/>
              <w:outlineLvl w:val="1"/>
              <w:rPr>
                <w:rFonts w:ascii="Arial" w:eastAsia="Times New Roman" w:hAnsi="Arial" w:cs="Arial"/>
                <w:bCs/>
                <w:sz w:val="16"/>
                <w:szCs w:val="16"/>
                <w:lang w:eastAsia="fr-FR"/>
              </w:rPr>
            </w:pPr>
          </w:p>
        </w:tc>
        <w:tc>
          <w:tcPr>
            <w:tcW w:w="1417" w:type="dxa"/>
            <w:tcBorders>
              <w:top w:val="nil"/>
              <w:bottom w:val="nil"/>
            </w:tcBorders>
          </w:tcPr>
          <w:p w14:paraId="62C58507" w14:textId="77777777" w:rsidR="00CE2DBC" w:rsidRPr="00E943BF" w:rsidRDefault="00CE2DBC" w:rsidP="00272C13">
            <w:pPr>
              <w:spacing w:before="60" w:after="60"/>
              <w:jc w:val="right"/>
              <w:outlineLvl w:val="1"/>
              <w:rPr>
                <w:rFonts w:ascii="Arial" w:eastAsia="Times New Roman" w:hAnsi="Arial" w:cs="Arial"/>
                <w:bCs/>
                <w:sz w:val="16"/>
                <w:szCs w:val="16"/>
                <w:lang w:eastAsia="fr-FR"/>
              </w:rPr>
            </w:pPr>
          </w:p>
        </w:tc>
      </w:tr>
      <w:tr w:rsidR="00CE2DBC" w:rsidRPr="00E943BF" w14:paraId="23B78F46" w14:textId="77777777" w:rsidTr="00D20234">
        <w:tc>
          <w:tcPr>
            <w:tcW w:w="675" w:type="dxa"/>
            <w:tcBorders>
              <w:top w:val="nil"/>
              <w:bottom w:val="nil"/>
              <w:right w:val="nil"/>
            </w:tcBorders>
          </w:tcPr>
          <w:p w14:paraId="1A75BD92" w14:textId="77777777" w:rsidR="00CE2DBC" w:rsidRPr="00E943BF" w:rsidRDefault="00CE2DBC" w:rsidP="00CE2DBC">
            <w:pPr>
              <w:spacing w:before="60" w:after="60"/>
              <w:outlineLvl w:val="1"/>
              <w:rPr>
                <w:rFonts w:ascii="Arial" w:eastAsia="Times New Roman" w:hAnsi="Arial" w:cs="Arial"/>
                <w:bCs/>
                <w:sz w:val="16"/>
                <w:szCs w:val="16"/>
                <w:lang w:eastAsia="fr-FR"/>
              </w:rPr>
            </w:pPr>
          </w:p>
        </w:tc>
        <w:tc>
          <w:tcPr>
            <w:tcW w:w="5132" w:type="dxa"/>
            <w:tcBorders>
              <w:top w:val="nil"/>
              <w:left w:val="nil"/>
              <w:bottom w:val="nil"/>
            </w:tcBorders>
          </w:tcPr>
          <w:p w14:paraId="31F63FEA" w14:textId="77777777" w:rsidR="00CE2DBC" w:rsidRPr="00E943BF" w:rsidRDefault="00E943BF" w:rsidP="00CE2DBC">
            <w:pPr>
              <w:spacing w:before="60" w:after="60"/>
              <w:outlineLvl w:val="1"/>
              <w:rPr>
                <w:rFonts w:ascii="Arial" w:eastAsia="Times New Roman" w:hAnsi="Arial" w:cs="Arial"/>
                <w:bCs/>
                <w:sz w:val="16"/>
                <w:szCs w:val="16"/>
                <w:lang w:eastAsia="fr-FR"/>
              </w:rPr>
            </w:pPr>
            <w:r>
              <w:rPr>
                <w:rFonts w:ascii="Arial" w:eastAsia="Times New Roman" w:hAnsi="Arial" w:cs="Arial"/>
                <w:bCs/>
                <w:sz w:val="16"/>
                <w:szCs w:val="16"/>
                <w:lang w:eastAsia="fr-FR"/>
              </w:rPr>
              <w:t>Réaménagement 20 rue Maurice Ténine</w:t>
            </w:r>
          </w:p>
        </w:tc>
        <w:tc>
          <w:tcPr>
            <w:tcW w:w="1276" w:type="dxa"/>
            <w:tcBorders>
              <w:top w:val="nil"/>
              <w:bottom w:val="nil"/>
            </w:tcBorders>
          </w:tcPr>
          <w:p w14:paraId="4EFEBE7C" w14:textId="77777777" w:rsidR="00CE2DBC" w:rsidRPr="00E943BF" w:rsidRDefault="00E943B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320</w:t>
            </w:r>
          </w:p>
        </w:tc>
        <w:tc>
          <w:tcPr>
            <w:tcW w:w="1276" w:type="dxa"/>
            <w:tcBorders>
              <w:top w:val="nil"/>
              <w:bottom w:val="nil"/>
            </w:tcBorders>
          </w:tcPr>
          <w:p w14:paraId="1DDE8A05" w14:textId="77777777" w:rsidR="00CE2DBC" w:rsidRPr="00E943BF" w:rsidRDefault="00CE2DBC" w:rsidP="00272C13">
            <w:pPr>
              <w:spacing w:before="60" w:after="60"/>
              <w:jc w:val="right"/>
              <w:outlineLvl w:val="1"/>
              <w:rPr>
                <w:rFonts w:ascii="Arial" w:eastAsia="Times New Roman" w:hAnsi="Arial" w:cs="Arial"/>
                <w:bCs/>
                <w:sz w:val="16"/>
                <w:szCs w:val="16"/>
                <w:lang w:eastAsia="fr-FR"/>
              </w:rPr>
            </w:pPr>
          </w:p>
        </w:tc>
        <w:tc>
          <w:tcPr>
            <w:tcW w:w="1417" w:type="dxa"/>
            <w:tcBorders>
              <w:top w:val="nil"/>
              <w:bottom w:val="nil"/>
            </w:tcBorders>
          </w:tcPr>
          <w:p w14:paraId="7D6195AA" w14:textId="77777777" w:rsidR="00CE2DBC" w:rsidRPr="00E943BF" w:rsidRDefault="00CE2DBC" w:rsidP="00272C13">
            <w:pPr>
              <w:spacing w:before="60" w:after="60"/>
              <w:jc w:val="right"/>
              <w:outlineLvl w:val="1"/>
              <w:rPr>
                <w:rFonts w:ascii="Arial" w:eastAsia="Times New Roman" w:hAnsi="Arial" w:cs="Arial"/>
                <w:bCs/>
                <w:sz w:val="16"/>
                <w:szCs w:val="16"/>
                <w:lang w:eastAsia="fr-FR"/>
              </w:rPr>
            </w:pPr>
          </w:p>
        </w:tc>
      </w:tr>
      <w:tr w:rsidR="00BA6BEF" w:rsidRPr="00E943BF" w14:paraId="28383515" w14:textId="77777777" w:rsidTr="00D20234">
        <w:tc>
          <w:tcPr>
            <w:tcW w:w="675" w:type="dxa"/>
            <w:tcBorders>
              <w:top w:val="nil"/>
              <w:right w:val="nil"/>
            </w:tcBorders>
          </w:tcPr>
          <w:p w14:paraId="5400354A" w14:textId="77777777" w:rsidR="00BA6BEF" w:rsidRPr="00E943BF" w:rsidRDefault="00BA6BEF" w:rsidP="00CE2DBC">
            <w:pPr>
              <w:spacing w:before="60" w:after="60"/>
              <w:outlineLvl w:val="1"/>
              <w:rPr>
                <w:rFonts w:ascii="Arial" w:eastAsia="Times New Roman" w:hAnsi="Arial" w:cs="Arial"/>
                <w:bCs/>
                <w:sz w:val="16"/>
                <w:szCs w:val="16"/>
                <w:lang w:eastAsia="fr-FR"/>
              </w:rPr>
            </w:pPr>
          </w:p>
        </w:tc>
        <w:tc>
          <w:tcPr>
            <w:tcW w:w="5132" w:type="dxa"/>
            <w:tcBorders>
              <w:top w:val="nil"/>
              <w:left w:val="nil"/>
            </w:tcBorders>
          </w:tcPr>
          <w:p w14:paraId="27092EF4" w14:textId="77777777" w:rsidR="00BA6BEF" w:rsidRPr="00E943BF" w:rsidRDefault="00E943BF" w:rsidP="00CE2DBC">
            <w:pPr>
              <w:spacing w:before="60" w:after="60"/>
              <w:outlineLvl w:val="1"/>
              <w:rPr>
                <w:rFonts w:ascii="Arial" w:eastAsia="Times New Roman" w:hAnsi="Arial" w:cs="Arial"/>
                <w:bCs/>
                <w:sz w:val="16"/>
                <w:szCs w:val="16"/>
                <w:lang w:eastAsia="fr-FR"/>
              </w:rPr>
            </w:pPr>
            <w:r>
              <w:rPr>
                <w:rFonts w:ascii="Arial" w:eastAsia="Times New Roman" w:hAnsi="Arial" w:cs="Arial"/>
                <w:bCs/>
                <w:sz w:val="16"/>
                <w:szCs w:val="16"/>
                <w:lang w:eastAsia="fr-FR"/>
              </w:rPr>
              <w:t>Plan de végétalisation urbaine</w:t>
            </w:r>
          </w:p>
        </w:tc>
        <w:tc>
          <w:tcPr>
            <w:tcW w:w="1276" w:type="dxa"/>
            <w:tcBorders>
              <w:top w:val="nil"/>
            </w:tcBorders>
          </w:tcPr>
          <w:p w14:paraId="265AFCAA" w14:textId="77777777" w:rsidR="00BA6BEF" w:rsidRPr="00E943BF" w:rsidRDefault="00E943B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160</w:t>
            </w:r>
          </w:p>
        </w:tc>
        <w:tc>
          <w:tcPr>
            <w:tcW w:w="1276" w:type="dxa"/>
            <w:tcBorders>
              <w:top w:val="nil"/>
            </w:tcBorders>
          </w:tcPr>
          <w:p w14:paraId="0B9BDE2D" w14:textId="77777777" w:rsidR="00BA6BEF" w:rsidRPr="00E943BF" w:rsidRDefault="00BA6BEF" w:rsidP="00272C13">
            <w:pPr>
              <w:spacing w:before="60" w:after="60"/>
              <w:jc w:val="right"/>
              <w:outlineLvl w:val="1"/>
              <w:rPr>
                <w:rFonts w:ascii="Arial" w:eastAsia="Times New Roman" w:hAnsi="Arial" w:cs="Arial"/>
                <w:bCs/>
                <w:sz w:val="16"/>
                <w:szCs w:val="16"/>
                <w:lang w:eastAsia="fr-FR"/>
              </w:rPr>
            </w:pPr>
          </w:p>
        </w:tc>
        <w:tc>
          <w:tcPr>
            <w:tcW w:w="1417" w:type="dxa"/>
            <w:tcBorders>
              <w:top w:val="nil"/>
            </w:tcBorders>
          </w:tcPr>
          <w:p w14:paraId="75A724B5" w14:textId="77777777" w:rsidR="00BA6BEF" w:rsidRPr="00E943BF" w:rsidRDefault="00BA6BEF" w:rsidP="00272C13">
            <w:pPr>
              <w:spacing w:before="60" w:after="60"/>
              <w:jc w:val="right"/>
              <w:outlineLvl w:val="1"/>
              <w:rPr>
                <w:rFonts w:ascii="Arial" w:eastAsia="Times New Roman" w:hAnsi="Arial" w:cs="Arial"/>
                <w:bCs/>
                <w:sz w:val="16"/>
                <w:szCs w:val="16"/>
                <w:lang w:eastAsia="fr-FR"/>
              </w:rPr>
            </w:pPr>
          </w:p>
        </w:tc>
      </w:tr>
      <w:tr w:rsidR="00CE2DBC" w:rsidRPr="00CE2DBC" w14:paraId="30547507" w14:textId="77777777" w:rsidTr="00286A94">
        <w:tc>
          <w:tcPr>
            <w:tcW w:w="5807" w:type="dxa"/>
            <w:gridSpan w:val="2"/>
          </w:tcPr>
          <w:p w14:paraId="0F592DE4" w14:textId="77777777" w:rsidR="00CE2DBC" w:rsidRPr="00CE2DBC" w:rsidRDefault="00CE2DBC" w:rsidP="00CE2DBC">
            <w:pPr>
              <w:spacing w:before="60" w:after="60"/>
              <w:outlineLvl w:val="1"/>
              <w:rPr>
                <w:rFonts w:ascii="Arial" w:eastAsia="Times New Roman" w:hAnsi="Arial" w:cs="Arial"/>
                <w:b/>
                <w:bCs/>
                <w:sz w:val="16"/>
                <w:szCs w:val="16"/>
                <w:lang w:eastAsia="fr-FR"/>
              </w:rPr>
            </w:pPr>
            <w:r w:rsidRPr="00CE2DBC">
              <w:rPr>
                <w:rFonts w:ascii="Arial" w:eastAsia="Times New Roman" w:hAnsi="Arial" w:cs="Arial"/>
                <w:b/>
                <w:bCs/>
                <w:sz w:val="16"/>
                <w:szCs w:val="16"/>
                <w:lang w:eastAsia="fr-FR"/>
              </w:rPr>
              <w:t>Budget participatif</w:t>
            </w:r>
          </w:p>
        </w:tc>
        <w:tc>
          <w:tcPr>
            <w:tcW w:w="1276" w:type="dxa"/>
          </w:tcPr>
          <w:p w14:paraId="6B422D56" w14:textId="77777777" w:rsidR="00CE2DBC" w:rsidRPr="00CE2DBC" w:rsidRDefault="00CE2DBC" w:rsidP="00272C13">
            <w:pPr>
              <w:spacing w:before="60" w:after="60"/>
              <w:jc w:val="right"/>
              <w:outlineLvl w:val="1"/>
              <w:rPr>
                <w:rFonts w:ascii="Arial" w:eastAsia="Times New Roman" w:hAnsi="Arial" w:cs="Arial"/>
                <w:b/>
                <w:bCs/>
                <w:sz w:val="16"/>
                <w:szCs w:val="16"/>
                <w:lang w:eastAsia="fr-FR"/>
              </w:rPr>
            </w:pPr>
          </w:p>
        </w:tc>
        <w:tc>
          <w:tcPr>
            <w:tcW w:w="1276" w:type="dxa"/>
          </w:tcPr>
          <w:p w14:paraId="64D22E35" w14:textId="77777777" w:rsidR="00CE2DBC" w:rsidRPr="00CE2DBC" w:rsidRDefault="00E943BF" w:rsidP="00272C13">
            <w:pPr>
              <w:spacing w:before="60" w:after="60"/>
              <w:jc w:val="right"/>
              <w:outlineLvl w:val="1"/>
              <w:rPr>
                <w:rFonts w:ascii="Arial" w:eastAsia="Times New Roman" w:hAnsi="Arial" w:cs="Arial"/>
                <w:b/>
                <w:bCs/>
                <w:sz w:val="16"/>
                <w:szCs w:val="16"/>
                <w:lang w:eastAsia="fr-FR"/>
              </w:rPr>
            </w:pPr>
            <w:r>
              <w:rPr>
                <w:rFonts w:ascii="Arial" w:eastAsia="Times New Roman" w:hAnsi="Arial" w:cs="Arial"/>
                <w:b/>
                <w:bCs/>
                <w:sz w:val="16"/>
                <w:szCs w:val="16"/>
                <w:lang w:eastAsia="fr-FR"/>
              </w:rPr>
              <w:t>100</w:t>
            </w:r>
          </w:p>
        </w:tc>
        <w:tc>
          <w:tcPr>
            <w:tcW w:w="1417" w:type="dxa"/>
          </w:tcPr>
          <w:p w14:paraId="6E438BBB" w14:textId="77777777" w:rsidR="00CE2DBC" w:rsidRPr="00CE2DBC" w:rsidRDefault="00E943BF" w:rsidP="00272C13">
            <w:pPr>
              <w:spacing w:before="60" w:after="60"/>
              <w:jc w:val="right"/>
              <w:outlineLvl w:val="1"/>
              <w:rPr>
                <w:rFonts w:ascii="Arial" w:eastAsia="Times New Roman" w:hAnsi="Arial" w:cs="Arial"/>
                <w:b/>
                <w:bCs/>
                <w:sz w:val="16"/>
                <w:szCs w:val="16"/>
                <w:lang w:eastAsia="fr-FR"/>
              </w:rPr>
            </w:pPr>
            <w:r>
              <w:rPr>
                <w:rFonts w:ascii="Arial" w:eastAsia="Times New Roman" w:hAnsi="Arial" w:cs="Arial"/>
                <w:b/>
                <w:bCs/>
                <w:sz w:val="16"/>
                <w:szCs w:val="16"/>
                <w:lang w:eastAsia="fr-FR"/>
              </w:rPr>
              <w:t>100</w:t>
            </w:r>
          </w:p>
        </w:tc>
      </w:tr>
      <w:tr w:rsidR="002D68A8" w:rsidRPr="00BA2A78" w14:paraId="4048B986" w14:textId="77777777" w:rsidTr="00BA6BEF">
        <w:tc>
          <w:tcPr>
            <w:tcW w:w="5807" w:type="dxa"/>
            <w:gridSpan w:val="2"/>
            <w:tcBorders>
              <w:bottom w:val="single" w:sz="4" w:space="0" w:color="000000" w:themeColor="text1"/>
            </w:tcBorders>
          </w:tcPr>
          <w:p w14:paraId="331A5D31" w14:textId="77777777" w:rsidR="002D68A8" w:rsidRDefault="002D68A8" w:rsidP="002D68A8">
            <w:pPr>
              <w:spacing w:before="60" w:after="60"/>
              <w:outlineLvl w:val="1"/>
              <w:rPr>
                <w:rFonts w:ascii="Arial" w:eastAsia="Times New Roman" w:hAnsi="Arial" w:cs="Arial"/>
                <w:b/>
                <w:bCs/>
                <w:sz w:val="16"/>
                <w:szCs w:val="16"/>
                <w:lang w:eastAsia="fr-FR"/>
              </w:rPr>
            </w:pPr>
            <w:r w:rsidRPr="00BA2A78">
              <w:rPr>
                <w:rFonts w:ascii="Arial" w:eastAsia="Times New Roman" w:hAnsi="Arial" w:cs="Arial"/>
                <w:b/>
                <w:bCs/>
                <w:sz w:val="16"/>
                <w:szCs w:val="16"/>
                <w:lang w:eastAsia="fr-FR"/>
              </w:rPr>
              <w:t>Total Equipement</w:t>
            </w:r>
          </w:p>
        </w:tc>
        <w:tc>
          <w:tcPr>
            <w:tcW w:w="1276" w:type="dxa"/>
            <w:tcBorders>
              <w:bottom w:val="single" w:sz="4" w:space="0" w:color="000000" w:themeColor="text1"/>
            </w:tcBorders>
          </w:tcPr>
          <w:p w14:paraId="1575FDDD" w14:textId="77777777" w:rsidR="002D68A8" w:rsidRPr="00BA2A78" w:rsidRDefault="002D68A8" w:rsidP="00272C13">
            <w:pPr>
              <w:spacing w:before="60" w:after="60"/>
              <w:jc w:val="right"/>
              <w:outlineLvl w:val="1"/>
              <w:rPr>
                <w:rFonts w:ascii="Arial" w:eastAsia="Times New Roman" w:hAnsi="Arial" w:cs="Arial"/>
                <w:b/>
                <w:bCs/>
                <w:sz w:val="16"/>
                <w:szCs w:val="16"/>
                <w:lang w:eastAsia="fr-FR"/>
              </w:rPr>
            </w:pPr>
            <w:r>
              <w:rPr>
                <w:rFonts w:ascii="Arial" w:eastAsia="Times New Roman" w:hAnsi="Arial" w:cs="Arial"/>
                <w:b/>
                <w:bCs/>
                <w:sz w:val="16"/>
                <w:szCs w:val="16"/>
                <w:lang w:eastAsia="fr-FR"/>
              </w:rPr>
              <w:t>5 824</w:t>
            </w:r>
          </w:p>
        </w:tc>
        <w:tc>
          <w:tcPr>
            <w:tcW w:w="1276" w:type="dxa"/>
            <w:tcBorders>
              <w:bottom w:val="single" w:sz="4" w:space="0" w:color="000000" w:themeColor="text1"/>
            </w:tcBorders>
          </w:tcPr>
          <w:p w14:paraId="6A98D1B0" w14:textId="77777777" w:rsidR="002D68A8" w:rsidRPr="00BA2A78" w:rsidRDefault="002D68A8" w:rsidP="00272C13">
            <w:pPr>
              <w:spacing w:before="60" w:after="60"/>
              <w:jc w:val="right"/>
              <w:outlineLvl w:val="1"/>
              <w:rPr>
                <w:rFonts w:ascii="Arial" w:eastAsia="Times New Roman" w:hAnsi="Arial" w:cs="Arial"/>
                <w:b/>
                <w:bCs/>
                <w:sz w:val="16"/>
                <w:szCs w:val="16"/>
                <w:lang w:eastAsia="fr-FR"/>
              </w:rPr>
            </w:pPr>
            <w:r>
              <w:rPr>
                <w:rFonts w:ascii="Arial" w:eastAsia="Times New Roman" w:hAnsi="Arial" w:cs="Arial"/>
                <w:b/>
                <w:bCs/>
                <w:sz w:val="16"/>
                <w:szCs w:val="16"/>
                <w:lang w:eastAsia="fr-FR"/>
              </w:rPr>
              <w:t>5 967</w:t>
            </w:r>
          </w:p>
        </w:tc>
        <w:tc>
          <w:tcPr>
            <w:tcW w:w="1417" w:type="dxa"/>
            <w:tcBorders>
              <w:bottom w:val="single" w:sz="4" w:space="0" w:color="000000" w:themeColor="text1"/>
            </w:tcBorders>
          </w:tcPr>
          <w:p w14:paraId="03B134F1" w14:textId="77777777" w:rsidR="002D68A8" w:rsidRPr="00BA2A78" w:rsidRDefault="002D68A8" w:rsidP="00272C13">
            <w:pPr>
              <w:spacing w:before="60" w:after="60"/>
              <w:jc w:val="right"/>
              <w:outlineLvl w:val="1"/>
              <w:rPr>
                <w:rFonts w:ascii="Arial" w:eastAsia="Times New Roman" w:hAnsi="Arial" w:cs="Arial"/>
                <w:b/>
                <w:bCs/>
                <w:sz w:val="16"/>
                <w:szCs w:val="16"/>
                <w:lang w:eastAsia="fr-FR"/>
              </w:rPr>
            </w:pPr>
            <w:r>
              <w:rPr>
                <w:rFonts w:ascii="Arial" w:eastAsia="Times New Roman" w:hAnsi="Arial" w:cs="Arial"/>
                <w:b/>
                <w:bCs/>
                <w:sz w:val="16"/>
                <w:szCs w:val="16"/>
                <w:lang w:eastAsia="fr-FR"/>
              </w:rPr>
              <w:t>7 084</w:t>
            </w:r>
          </w:p>
        </w:tc>
      </w:tr>
      <w:tr w:rsidR="00F53A17" w:rsidRPr="00BA2A78" w14:paraId="7F826F31" w14:textId="77777777" w:rsidTr="00F53A17">
        <w:tc>
          <w:tcPr>
            <w:tcW w:w="675" w:type="dxa"/>
            <w:tcBorders>
              <w:left w:val="nil"/>
              <w:right w:val="nil"/>
            </w:tcBorders>
          </w:tcPr>
          <w:p w14:paraId="41021775" w14:textId="77777777" w:rsidR="00F53A17" w:rsidRPr="00BA2A78" w:rsidRDefault="00F53A17" w:rsidP="00272C13">
            <w:pPr>
              <w:spacing w:before="60" w:after="60"/>
              <w:outlineLvl w:val="1"/>
              <w:rPr>
                <w:rFonts w:ascii="Arial" w:eastAsia="Times New Roman" w:hAnsi="Arial" w:cs="Arial"/>
                <w:b/>
                <w:bCs/>
                <w:sz w:val="16"/>
                <w:szCs w:val="16"/>
                <w:lang w:eastAsia="fr-FR"/>
              </w:rPr>
            </w:pPr>
          </w:p>
        </w:tc>
        <w:tc>
          <w:tcPr>
            <w:tcW w:w="5132" w:type="dxa"/>
            <w:tcBorders>
              <w:left w:val="nil"/>
              <w:right w:val="nil"/>
            </w:tcBorders>
          </w:tcPr>
          <w:p w14:paraId="084AABD0" w14:textId="77777777" w:rsidR="00F53A17" w:rsidRPr="00BA2A78" w:rsidRDefault="00F53A17" w:rsidP="00272C13">
            <w:pPr>
              <w:spacing w:before="60" w:after="60"/>
              <w:jc w:val="right"/>
              <w:outlineLvl w:val="1"/>
              <w:rPr>
                <w:rFonts w:ascii="Arial" w:eastAsia="Times New Roman" w:hAnsi="Arial" w:cs="Arial"/>
                <w:b/>
                <w:bCs/>
                <w:sz w:val="16"/>
                <w:szCs w:val="16"/>
                <w:lang w:eastAsia="fr-FR"/>
              </w:rPr>
            </w:pPr>
          </w:p>
        </w:tc>
        <w:tc>
          <w:tcPr>
            <w:tcW w:w="1276" w:type="dxa"/>
            <w:tcBorders>
              <w:left w:val="nil"/>
              <w:right w:val="nil"/>
            </w:tcBorders>
          </w:tcPr>
          <w:p w14:paraId="33AE08E7" w14:textId="77777777" w:rsidR="00F53A17" w:rsidRPr="00BA2A78" w:rsidRDefault="00F53A17" w:rsidP="00272C13">
            <w:pPr>
              <w:spacing w:before="60" w:after="60"/>
              <w:jc w:val="right"/>
              <w:outlineLvl w:val="1"/>
              <w:rPr>
                <w:rFonts w:ascii="Arial" w:eastAsia="Times New Roman" w:hAnsi="Arial" w:cs="Arial"/>
                <w:b/>
                <w:bCs/>
                <w:sz w:val="16"/>
                <w:szCs w:val="16"/>
                <w:lang w:eastAsia="fr-FR"/>
              </w:rPr>
            </w:pPr>
          </w:p>
        </w:tc>
        <w:tc>
          <w:tcPr>
            <w:tcW w:w="1276" w:type="dxa"/>
            <w:tcBorders>
              <w:left w:val="nil"/>
              <w:right w:val="nil"/>
            </w:tcBorders>
          </w:tcPr>
          <w:p w14:paraId="3698648E" w14:textId="77777777" w:rsidR="00F53A17" w:rsidRPr="00BA2A78" w:rsidRDefault="00F53A17" w:rsidP="00272C13">
            <w:pPr>
              <w:spacing w:before="60" w:after="60"/>
              <w:jc w:val="right"/>
              <w:outlineLvl w:val="1"/>
              <w:rPr>
                <w:rFonts w:ascii="Arial" w:eastAsia="Times New Roman" w:hAnsi="Arial" w:cs="Arial"/>
                <w:b/>
                <w:bCs/>
                <w:sz w:val="16"/>
                <w:szCs w:val="16"/>
                <w:lang w:eastAsia="fr-FR"/>
              </w:rPr>
            </w:pPr>
          </w:p>
        </w:tc>
        <w:tc>
          <w:tcPr>
            <w:tcW w:w="1417" w:type="dxa"/>
            <w:tcBorders>
              <w:left w:val="nil"/>
              <w:right w:val="nil"/>
            </w:tcBorders>
          </w:tcPr>
          <w:p w14:paraId="0F565EE0" w14:textId="77777777" w:rsidR="00F53A17" w:rsidRPr="00BA2A78" w:rsidRDefault="00F53A17" w:rsidP="00272C13">
            <w:pPr>
              <w:spacing w:before="60" w:after="60"/>
              <w:jc w:val="right"/>
              <w:outlineLvl w:val="1"/>
              <w:rPr>
                <w:rFonts w:ascii="Arial" w:eastAsia="Times New Roman" w:hAnsi="Arial" w:cs="Arial"/>
                <w:b/>
                <w:bCs/>
                <w:sz w:val="16"/>
                <w:szCs w:val="16"/>
                <w:lang w:eastAsia="fr-FR"/>
              </w:rPr>
            </w:pPr>
          </w:p>
        </w:tc>
      </w:tr>
      <w:tr w:rsidR="002D68A8" w:rsidRPr="00BA2A78" w14:paraId="10E82167" w14:textId="77777777" w:rsidTr="00BA6BEF">
        <w:tc>
          <w:tcPr>
            <w:tcW w:w="5807" w:type="dxa"/>
            <w:gridSpan w:val="2"/>
          </w:tcPr>
          <w:p w14:paraId="49F0B75E" w14:textId="77777777" w:rsidR="002D68A8" w:rsidRDefault="002D68A8" w:rsidP="002D68A8">
            <w:pPr>
              <w:spacing w:before="60" w:after="60"/>
              <w:outlineLvl w:val="1"/>
              <w:rPr>
                <w:rFonts w:ascii="Arial" w:eastAsia="Times New Roman" w:hAnsi="Arial" w:cs="Arial"/>
                <w:bCs/>
                <w:sz w:val="16"/>
                <w:szCs w:val="16"/>
                <w:lang w:eastAsia="fr-FR"/>
              </w:rPr>
            </w:pPr>
            <w:r w:rsidRPr="00BA2A78">
              <w:rPr>
                <w:rFonts w:ascii="Arial" w:eastAsia="Times New Roman" w:hAnsi="Arial" w:cs="Arial"/>
                <w:bCs/>
                <w:sz w:val="16"/>
                <w:szCs w:val="16"/>
                <w:lang w:eastAsia="fr-FR"/>
              </w:rPr>
              <w:t>Subventions</w:t>
            </w:r>
          </w:p>
        </w:tc>
        <w:tc>
          <w:tcPr>
            <w:tcW w:w="1276" w:type="dxa"/>
          </w:tcPr>
          <w:p w14:paraId="32B761B3" w14:textId="77777777" w:rsidR="002D68A8" w:rsidRPr="00BA2A78" w:rsidRDefault="002D68A8"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1 639</w:t>
            </w:r>
          </w:p>
        </w:tc>
        <w:tc>
          <w:tcPr>
            <w:tcW w:w="1276" w:type="dxa"/>
          </w:tcPr>
          <w:p w14:paraId="402BCD9E" w14:textId="77777777" w:rsidR="002D68A8" w:rsidRPr="00BA2A78" w:rsidRDefault="002D68A8"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909</w:t>
            </w:r>
          </w:p>
        </w:tc>
        <w:tc>
          <w:tcPr>
            <w:tcW w:w="1417" w:type="dxa"/>
          </w:tcPr>
          <w:p w14:paraId="6B7C0C13" w14:textId="77777777" w:rsidR="002D68A8" w:rsidRPr="00BA2A78" w:rsidRDefault="002D68A8"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683</w:t>
            </w:r>
          </w:p>
        </w:tc>
      </w:tr>
      <w:tr w:rsidR="002D68A8" w:rsidRPr="00BA2A78" w14:paraId="1DA0369C" w14:textId="77777777" w:rsidTr="00BA6BEF">
        <w:tc>
          <w:tcPr>
            <w:tcW w:w="5807" w:type="dxa"/>
            <w:gridSpan w:val="2"/>
          </w:tcPr>
          <w:p w14:paraId="3456207F" w14:textId="77777777" w:rsidR="002D68A8" w:rsidRDefault="002D68A8" w:rsidP="002D68A8">
            <w:pPr>
              <w:spacing w:before="60" w:after="60"/>
              <w:outlineLvl w:val="1"/>
              <w:rPr>
                <w:rFonts w:ascii="Arial" w:eastAsia="Times New Roman" w:hAnsi="Arial" w:cs="Arial"/>
                <w:bCs/>
                <w:sz w:val="16"/>
                <w:szCs w:val="16"/>
                <w:lang w:eastAsia="fr-FR"/>
              </w:rPr>
            </w:pPr>
            <w:r w:rsidRPr="00BA2A78">
              <w:rPr>
                <w:rFonts w:ascii="Arial" w:eastAsia="Times New Roman" w:hAnsi="Arial" w:cs="Arial"/>
                <w:bCs/>
                <w:sz w:val="16"/>
                <w:szCs w:val="16"/>
                <w:lang w:eastAsia="fr-FR"/>
              </w:rPr>
              <w:t>FCTVA</w:t>
            </w:r>
          </w:p>
        </w:tc>
        <w:tc>
          <w:tcPr>
            <w:tcW w:w="1276" w:type="dxa"/>
          </w:tcPr>
          <w:p w14:paraId="672964D4" w14:textId="77777777" w:rsidR="002D68A8" w:rsidRPr="00BA2A78" w:rsidRDefault="002D68A8"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282</w:t>
            </w:r>
          </w:p>
        </w:tc>
        <w:tc>
          <w:tcPr>
            <w:tcW w:w="1276" w:type="dxa"/>
          </w:tcPr>
          <w:p w14:paraId="3A0DF7CD" w14:textId="77777777" w:rsidR="002D68A8" w:rsidRPr="00BA2A78" w:rsidRDefault="002D68A8"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759</w:t>
            </w:r>
          </w:p>
        </w:tc>
        <w:tc>
          <w:tcPr>
            <w:tcW w:w="1417" w:type="dxa"/>
          </w:tcPr>
          <w:p w14:paraId="44E844B2" w14:textId="77777777" w:rsidR="002D68A8" w:rsidRPr="00BA2A78" w:rsidRDefault="002D68A8" w:rsidP="002D68A8">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967</w:t>
            </w:r>
          </w:p>
        </w:tc>
      </w:tr>
      <w:tr w:rsidR="002D68A8" w:rsidRPr="00BA2A78" w14:paraId="4591434C" w14:textId="77777777" w:rsidTr="00BA6BEF">
        <w:tc>
          <w:tcPr>
            <w:tcW w:w="5807" w:type="dxa"/>
            <w:gridSpan w:val="2"/>
          </w:tcPr>
          <w:p w14:paraId="265BBF43" w14:textId="77777777" w:rsidR="002D68A8" w:rsidRDefault="002D68A8" w:rsidP="002D68A8">
            <w:pPr>
              <w:spacing w:before="60" w:after="60"/>
              <w:outlineLvl w:val="1"/>
              <w:rPr>
                <w:rFonts w:ascii="Arial" w:eastAsia="Times New Roman" w:hAnsi="Arial" w:cs="Arial"/>
                <w:bCs/>
                <w:sz w:val="16"/>
                <w:szCs w:val="16"/>
                <w:lang w:eastAsia="fr-FR"/>
              </w:rPr>
            </w:pPr>
            <w:r w:rsidRPr="00BA2A78">
              <w:rPr>
                <w:rFonts w:ascii="Arial" w:eastAsia="Times New Roman" w:hAnsi="Arial" w:cs="Arial"/>
                <w:bCs/>
                <w:sz w:val="16"/>
                <w:szCs w:val="16"/>
                <w:lang w:eastAsia="fr-FR"/>
              </w:rPr>
              <w:t>Taxe d’aménagement</w:t>
            </w:r>
            <w:r>
              <w:rPr>
                <w:rFonts w:ascii="Arial" w:eastAsia="Times New Roman" w:hAnsi="Arial" w:cs="Arial"/>
                <w:bCs/>
                <w:sz w:val="16"/>
                <w:szCs w:val="16"/>
                <w:lang w:eastAsia="fr-FR"/>
              </w:rPr>
              <w:t xml:space="preserve"> et autres</w:t>
            </w:r>
          </w:p>
        </w:tc>
        <w:tc>
          <w:tcPr>
            <w:tcW w:w="1276" w:type="dxa"/>
          </w:tcPr>
          <w:p w14:paraId="28C536D9" w14:textId="77777777" w:rsidR="002D68A8" w:rsidRPr="00BA2A78" w:rsidRDefault="002D68A8"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840</w:t>
            </w:r>
          </w:p>
        </w:tc>
        <w:tc>
          <w:tcPr>
            <w:tcW w:w="1276" w:type="dxa"/>
          </w:tcPr>
          <w:p w14:paraId="30D5DD94" w14:textId="77777777" w:rsidR="002D68A8" w:rsidRPr="00BA2A78" w:rsidRDefault="002D68A8"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200</w:t>
            </w:r>
          </w:p>
        </w:tc>
        <w:tc>
          <w:tcPr>
            <w:tcW w:w="1417" w:type="dxa"/>
          </w:tcPr>
          <w:p w14:paraId="17A239D4" w14:textId="77777777" w:rsidR="002D68A8" w:rsidRPr="00BA2A78" w:rsidRDefault="002D68A8" w:rsidP="002D68A8">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200</w:t>
            </w:r>
          </w:p>
        </w:tc>
      </w:tr>
      <w:tr w:rsidR="002D68A8" w:rsidRPr="00BA2A78" w14:paraId="180DA86E" w14:textId="77777777" w:rsidTr="00BA6BEF">
        <w:tc>
          <w:tcPr>
            <w:tcW w:w="5807" w:type="dxa"/>
            <w:gridSpan w:val="2"/>
          </w:tcPr>
          <w:p w14:paraId="70CF86CF" w14:textId="77777777" w:rsidR="002D68A8" w:rsidRPr="00BA2A78" w:rsidRDefault="002D68A8" w:rsidP="002D68A8">
            <w:pPr>
              <w:spacing w:before="60" w:after="60"/>
              <w:outlineLvl w:val="1"/>
              <w:rPr>
                <w:rFonts w:ascii="Arial" w:eastAsia="Times New Roman" w:hAnsi="Arial" w:cs="Arial"/>
                <w:bCs/>
                <w:sz w:val="16"/>
                <w:szCs w:val="16"/>
                <w:lang w:eastAsia="fr-FR"/>
              </w:rPr>
            </w:pPr>
            <w:r>
              <w:rPr>
                <w:rFonts w:ascii="Arial" w:eastAsia="Times New Roman" w:hAnsi="Arial" w:cs="Arial"/>
                <w:bCs/>
                <w:sz w:val="16"/>
                <w:szCs w:val="16"/>
                <w:lang w:eastAsia="fr-FR"/>
              </w:rPr>
              <w:t>Produits de cession</w:t>
            </w:r>
          </w:p>
        </w:tc>
        <w:tc>
          <w:tcPr>
            <w:tcW w:w="1276" w:type="dxa"/>
          </w:tcPr>
          <w:p w14:paraId="6473A8FC" w14:textId="77777777" w:rsidR="002D68A8" w:rsidRPr="00BA2A78" w:rsidRDefault="002D68A8" w:rsidP="00272C13">
            <w:pPr>
              <w:spacing w:before="60" w:after="60"/>
              <w:jc w:val="right"/>
              <w:outlineLvl w:val="1"/>
              <w:rPr>
                <w:rFonts w:ascii="Arial" w:eastAsia="Times New Roman" w:hAnsi="Arial" w:cs="Arial"/>
                <w:bCs/>
                <w:sz w:val="16"/>
                <w:szCs w:val="16"/>
                <w:lang w:eastAsia="fr-FR"/>
              </w:rPr>
            </w:pPr>
          </w:p>
        </w:tc>
        <w:tc>
          <w:tcPr>
            <w:tcW w:w="1276" w:type="dxa"/>
          </w:tcPr>
          <w:p w14:paraId="4426BA11" w14:textId="77777777" w:rsidR="002D68A8" w:rsidRPr="00BA2A78" w:rsidRDefault="002D68A8"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460</w:t>
            </w:r>
          </w:p>
        </w:tc>
        <w:tc>
          <w:tcPr>
            <w:tcW w:w="1417" w:type="dxa"/>
          </w:tcPr>
          <w:p w14:paraId="1CBCF4F2" w14:textId="77777777" w:rsidR="002D68A8" w:rsidRPr="00BA2A78" w:rsidRDefault="002D68A8"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1 200</w:t>
            </w:r>
          </w:p>
        </w:tc>
      </w:tr>
      <w:tr w:rsidR="002D68A8" w:rsidRPr="00BA2A78" w14:paraId="578BBA61" w14:textId="77777777" w:rsidTr="00BA6BEF">
        <w:tc>
          <w:tcPr>
            <w:tcW w:w="5807" w:type="dxa"/>
            <w:gridSpan w:val="2"/>
          </w:tcPr>
          <w:p w14:paraId="5F03467F" w14:textId="77777777" w:rsidR="002D68A8" w:rsidRDefault="002D68A8" w:rsidP="002D68A8">
            <w:pPr>
              <w:spacing w:before="60" w:after="60"/>
              <w:outlineLvl w:val="1"/>
              <w:rPr>
                <w:rFonts w:ascii="Arial" w:eastAsia="Times New Roman" w:hAnsi="Arial" w:cs="Arial"/>
                <w:bCs/>
                <w:sz w:val="16"/>
                <w:szCs w:val="16"/>
                <w:lang w:eastAsia="fr-FR"/>
              </w:rPr>
            </w:pPr>
            <w:r w:rsidRPr="00BA2A78">
              <w:rPr>
                <w:rFonts w:ascii="Arial" w:eastAsia="Times New Roman" w:hAnsi="Arial" w:cs="Arial"/>
                <w:bCs/>
                <w:sz w:val="16"/>
                <w:szCs w:val="16"/>
                <w:lang w:eastAsia="fr-FR"/>
              </w:rPr>
              <w:t>Emprunt</w:t>
            </w:r>
          </w:p>
        </w:tc>
        <w:tc>
          <w:tcPr>
            <w:tcW w:w="1276" w:type="dxa"/>
          </w:tcPr>
          <w:p w14:paraId="1BB45B5E" w14:textId="77777777" w:rsidR="002D68A8" w:rsidRPr="00BA2A78" w:rsidRDefault="002D68A8"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2 973</w:t>
            </w:r>
          </w:p>
        </w:tc>
        <w:tc>
          <w:tcPr>
            <w:tcW w:w="1276" w:type="dxa"/>
          </w:tcPr>
          <w:p w14:paraId="7121E7D5" w14:textId="77777777" w:rsidR="002D68A8" w:rsidRPr="00BA2A78" w:rsidRDefault="001675E1"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3 639</w:t>
            </w:r>
          </w:p>
        </w:tc>
        <w:tc>
          <w:tcPr>
            <w:tcW w:w="1417" w:type="dxa"/>
          </w:tcPr>
          <w:p w14:paraId="3CC7C98B" w14:textId="77777777" w:rsidR="002D68A8" w:rsidRPr="00BA2A78" w:rsidRDefault="001675E1"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4 034</w:t>
            </w:r>
          </w:p>
        </w:tc>
      </w:tr>
      <w:tr w:rsidR="002D68A8" w:rsidRPr="00BA2A78" w14:paraId="5164B4D4" w14:textId="77777777" w:rsidTr="00BA6BEF">
        <w:tc>
          <w:tcPr>
            <w:tcW w:w="5807" w:type="dxa"/>
            <w:gridSpan w:val="2"/>
            <w:tcBorders>
              <w:bottom w:val="single" w:sz="4" w:space="0" w:color="000000" w:themeColor="text1"/>
            </w:tcBorders>
          </w:tcPr>
          <w:p w14:paraId="2679EFC2" w14:textId="77777777" w:rsidR="002D68A8" w:rsidRDefault="002D68A8" w:rsidP="002D68A8">
            <w:pPr>
              <w:spacing w:before="60" w:after="60"/>
              <w:outlineLvl w:val="1"/>
              <w:rPr>
                <w:rFonts w:ascii="Arial" w:eastAsia="Times New Roman" w:hAnsi="Arial" w:cs="Arial"/>
                <w:b/>
                <w:bCs/>
                <w:sz w:val="16"/>
                <w:szCs w:val="16"/>
                <w:lang w:eastAsia="fr-FR"/>
              </w:rPr>
            </w:pPr>
            <w:r w:rsidRPr="00BA2A78">
              <w:rPr>
                <w:rFonts w:ascii="Arial" w:eastAsia="Times New Roman" w:hAnsi="Arial" w:cs="Arial"/>
                <w:b/>
                <w:bCs/>
                <w:sz w:val="16"/>
                <w:szCs w:val="16"/>
                <w:lang w:eastAsia="fr-FR"/>
              </w:rPr>
              <w:t>Total recettes réelles</w:t>
            </w:r>
          </w:p>
        </w:tc>
        <w:tc>
          <w:tcPr>
            <w:tcW w:w="1276" w:type="dxa"/>
            <w:tcBorders>
              <w:bottom w:val="single" w:sz="4" w:space="0" w:color="000000" w:themeColor="text1"/>
            </w:tcBorders>
          </w:tcPr>
          <w:p w14:paraId="2EEFBB1F" w14:textId="77777777" w:rsidR="002D68A8" w:rsidRPr="00BA2A78" w:rsidRDefault="002D68A8" w:rsidP="00272C13">
            <w:pPr>
              <w:spacing w:before="60" w:after="60"/>
              <w:jc w:val="right"/>
              <w:outlineLvl w:val="1"/>
              <w:rPr>
                <w:rFonts w:ascii="Arial" w:eastAsia="Times New Roman" w:hAnsi="Arial" w:cs="Arial"/>
                <w:b/>
                <w:bCs/>
                <w:sz w:val="16"/>
                <w:szCs w:val="16"/>
                <w:lang w:eastAsia="fr-FR"/>
              </w:rPr>
            </w:pPr>
            <w:r>
              <w:rPr>
                <w:rFonts w:ascii="Arial" w:eastAsia="Times New Roman" w:hAnsi="Arial" w:cs="Arial"/>
                <w:b/>
                <w:bCs/>
                <w:sz w:val="16"/>
                <w:szCs w:val="16"/>
                <w:lang w:eastAsia="fr-FR"/>
              </w:rPr>
              <w:t>5 734</w:t>
            </w:r>
          </w:p>
        </w:tc>
        <w:tc>
          <w:tcPr>
            <w:tcW w:w="1276" w:type="dxa"/>
            <w:tcBorders>
              <w:bottom w:val="single" w:sz="4" w:space="0" w:color="000000" w:themeColor="text1"/>
            </w:tcBorders>
          </w:tcPr>
          <w:p w14:paraId="3DEA5F57" w14:textId="77777777" w:rsidR="002D68A8" w:rsidRPr="00BA2A78" w:rsidRDefault="002D68A8" w:rsidP="00272C13">
            <w:pPr>
              <w:spacing w:before="60" w:after="60"/>
              <w:jc w:val="right"/>
              <w:outlineLvl w:val="1"/>
              <w:rPr>
                <w:rFonts w:ascii="Arial" w:eastAsia="Times New Roman" w:hAnsi="Arial" w:cs="Arial"/>
                <w:b/>
                <w:bCs/>
                <w:sz w:val="16"/>
                <w:szCs w:val="16"/>
                <w:lang w:eastAsia="fr-FR"/>
              </w:rPr>
            </w:pPr>
            <w:r>
              <w:rPr>
                <w:rFonts w:ascii="Arial" w:eastAsia="Times New Roman" w:hAnsi="Arial" w:cs="Arial"/>
                <w:b/>
                <w:bCs/>
                <w:sz w:val="16"/>
                <w:szCs w:val="16"/>
                <w:lang w:eastAsia="fr-FR"/>
              </w:rPr>
              <w:t>5 967</w:t>
            </w:r>
          </w:p>
        </w:tc>
        <w:tc>
          <w:tcPr>
            <w:tcW w:w="1417" w:type="dxa"/>
            <w:tcBorders>
              <w:bottom w:val="single" w:sz="4" w:space="0" w:color="000000" w:themeColor="text1"/>
            </w:tcBorders>
          </w:tcPr>
          <w:p w14:paraId="63586698" w14:textId="77777777" w:rsidR="002D68A8" w:rsidRPr="00BA2A78" w:rsidRDefault="002D68A8" w:rsidP="00272C13">
            <w:pPr>
              <w:spacing w:before="60" w:after="60"/>
              <w:jc w:val="right"/>
              <w:outlineLvl w:val="1"/>
              <w:rPr>
                <w:rFonts w:ascii="Arial" w:eastAsia="Times New Roman" w:hAnsi="Arial" w:cs="Arial"/>
                <w:b/>
                <w:bCs/>
                <w:sz w:val="16"/>
                <w:szCs w:val="16"/>
                <w:lang w:eastAsia="fr-FR"/>
              </w:rPr>
            </w:pPr>
            <w:r>
              <w:rPr>
                <w:rFonts w:ascii="Arial" w:eastAsia="Times New Roman" w:hAnsi="Arial" w:cs="Arial"/>
                <w:b/>
                <w:bCs/>
                <w:sz w:val="16"/>
                <w:szCs w:val="16"/>
                <w:lang w:eastAsia="fr-FR"/>
              </w:rPr>
              <w:t>7 084</w:t>
            </w:r>
          </w:p>
        </w:tc>
      </w:tr>
      <w:tr w:rsidR="00F53A17" w:rsidRPr="00BA2A78" w14:paraId="58ED1C9A" w14:textId="77777777" w:rsidTr="00F53A17">
        <w:tc>
          <w:tcPr>
            <w:tcW w:w="675" w:type="dxa"/>
            <w:tcBorders>
              <w:left w:val="nil"/>
              <w:right w:val="nil"/>
            </w:tcBorders>
          </w:tcPr>
          <w:p w14:paraId="1F79FA2A" w14:textId="77777777" w:rsidR="00F53A17" w:rsidRPr="00BA2A78" w:rsidRDefault="00F53A17" w:rsidP="00272C13">
            <w:pPr>
              <w:spacing w:before="60" w:after="60"/>
              <w:outlineLvl w:val="1"/>
              <w:rPr>
                <w:rFonts w:ascii="Arial" w:eastAsia="Times New Roman" w:hAnsi="Arial" w:cs="Arial"/>
                <w:bCs/>
                <w:sz w:val="16"/>
                <w:szCs w:val="16"/>
                <w:lang w:eastAsia="fr-FR"/>
              </w:rPr>
            </w:pPr>
          </w:p>
        </w:tc>
        <w:tc>
          <w:tcPr>
            <w:tcW w:w="5132" w:type="dxa"/>
            <w:tcBorders>
              <w:left w:val="nil"/>
              <w:right w:val="nil"/>
            </w:tcBorders>
          </w:tcPr>
          <w:p w14:paraId="257EEC3C" w14:textId="77777777" w:rsidR="00F53A17" w:rsidRPr="00BA2A78" w:rsidRDefault="00F53A17" w:rsidP="00272C13">
            <w:pPr>
              <w:spacing w:before="60" w:after="60"/>
              <w:jc w:val="right"/>
              <w:outlineLvl w:val="1"/>
              <w:rPr>
                <w:rFonts w:ascii="Arial" w:eastAsia="Times New Roman" w:hAnsi="Arial" w:cs="Arial"/>
                <w:bCs/>
                <w:sz w:val="16"/>
                <w:szCs w:val="16"/>
                <w:lang w:eastAsia="fr-FR"/>
              </w:rPr>
            </w:pPr>
          </w:p>
        </w:tc>
        <w:tc>
          <w:tcPr>
            <w:tcW w:w="1276" w:type="dxa"/>
            <w:tcBorders>
              <w:left w:val="nil"/>
              <w:right w:val="nil"/>
            </w:tcBorders>
          </w:tcPr>
          <w:p w14:paraId="11397E82" w14:textId="77777777" w:rsidR="00F53A17" w:rsidRPr="00BA2A78" w:rsidRDefault="00F53A17" w:rsidP="00272C13">
            <w:pPr>
              <w:spacing w:before="60" w:after="60"/>
              <w:jc w:val="right"/>
              <w:outlineLvl w:val="1"/>
              <w:rPr>
                <w:rFonts w:ascii="Arial" w:eastAsia="Times New Roman" w:hAnsi="Arial" w:cs="Arial"/>
                <w:bCs/>
                <w:sz w:val="16"/>
                <w:szCs w:val="16"/>
                <w:lang w:eastAsia="fr-FR"/>
              </w:rPr>
            </w:pPr>
          </w:p>
        </w:tc>
        <w:tc>
          <w:tcPr>
            <w:tcW w:w="1276" w:type="dxa"/>
            <w:tcBorders>
              <w:left w:val="nil"/>
              <w:right w:val="nil"/>
            </w:tcBorders>
          </w:tcPr>
          <w:p w14:paraId="65B70A5B" w14:textId="77777777" w:rsidR="00F53A17" w:rsidRPr="00BA2A78" w:rsidRDefault="00F53A17" w:rsidP="00272C13">
            <w:pPr>
              <w:spacing w:before="60" w:after="60"/>
              <w:jc w:val="right"/>
              <w:outlineLvl w:val="1"/>
              <w:rPr>
                <w:rFonts w:ascii="Arial" w:eastAsia="Times New Roman" w:hAnsi="Arial" w:cs="Arial"/>
                <w:bCs/>
                <w:sz w:val="16"/>
                <w:szCs w:val="16"/>
                <w:lang w:eastAsia="fr-FR"/>
              </w:rPr>
            </w:pPr>
          </w:p>
        </w:tc>
        <w:tc>
          <w:tcPr>
            <w:tcW w:w="1417" w:type="dxa"/>
            <w:tcBorders>
              <w:left w:val="nil"/>
              <w:right w:val="nil"/>
            </w:tcBorders>
          </w:tcPr>
          <w:p w14:paraId="3A1529B0" w14:textId="77777777" w:rsidR="00F53A17" w:rsidRPr="00BA2A78" w:rsidRDefault="00F53A17" w:rsidP="00272C13">
            <w:pPr>
              <w:spacing w:before="60" w:after="60"/>
              <w:jc w:val="right"/>
              <w:outlineLvl w:val="1"/>
              <w:rPr>
                <w:rFonts w:ascii="Arial" w:eastAsia="Times New Roman" w:hAnsi="Arial" w:cs="Arial"/>
                <w:bCs/>
                <w:sz w:val="16"/>
                <w:szCs w:val="16"/>
                <w:lang w:eastAsia="fr-FR"/>
              </w:rPr>
            </w:pPr>
          </w:p>
        </w:tc>
      </w:tr>
      <w:tr w:rsidR="002D68A8" w:rsidRPr="00BA2A78" w14:paraId="122802F4" w14:textId="77777777" w:rsidTr="00BA6BEF">
        <w:tc>
          <w:tcPr>
            <w:tcW w:w="5807" w:type="dxa"/>
            <w:gridSpan w:val="2"/>
          </w:tcPr>
          <w:p w14:paraId="1B6F2DB8" w14:textId="77777777" w:rsidR="002D68A8" w:rsidRDefault="002D68A8" w:rsidP="002D68A8">
            <w:pPr>
              <w:spacing w:before="60" w:after="60"/>
              <w:outlineLvl w:val="1"/>
              <w:rPr>
                <w:rFonts w:ascii="Arial" w:eastAsia="Times New Roman" w:hAnsi="Arial" w:cs="Arial"/>
                <w:bCs/>
                <w:sz w:val="16"/>
                <w:szCs w:val="16"/>
                <w:lang w:eastAsia="fr-FR"/>
              </w:rPr>
            </w:pPr>
            <w:r w:rsidRPr="00BA2A78">
              <w:rPr>
                <w:rFonts w:ascii="Arial" w:eastAsia="Times New Roman" w:hAnsi="Arial" w:cs="Arial"/>
                <w:bCs/>
                <w:sz w:val="16"/>
                <w:szCs w:val="16"/>
                <w:lang w:eastAsia="fr-FR"/>
              </w:rPr>
              <w:t>Solde</w:t>
            </w:r>
            <w:r>
              <w:rPr>
                <w:rFonts w:ascii="Arial" w:eastAsia="Times New Roman" w:hAnsi="Arial" w:cs="Arial"/>
                <w:bCs/>
                <w:sz w:val="16"/>
                <w:szCs w:val="16"/>
                <w:lang w:eastAsia="fr-FR"/>
              </w:rPr>
              <w:t xml:space="preserve"> (autofinancement)</w:t>
            </w:r>
          </w:p>
        </w:tc>
        <w:tc>
          <w:tcPr>
            <w:tcW w:w="1276" w:type="dxa"/>
          </w:tcPr>
          <w:p w14:paraId="1339A34B" w14:textId="77777777" w:rsidR="002D68A8" w:rsidRPr="00BA2A78" w:rsidRDefault="002D68A8"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90</w:t>
            </w:r>
          </w:p>
        </w:tc>
        <w:tc>
          <w:tcPr>
            <w:tcW w:w="1276" w:type="dxa"/>
          </w:tcPr>
          <w:p w14:paraId="253A379C" w14:textId="77777777" w:rsidR="002D68A8" w:rsidRPr="00BA2A78" w:rsidRDefault="002D68A8"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0</w:t>
            </w:r>
          </w:p>
        </w:tc>
        <w:tc>
          <w:tcPr>
            <w:tcW w:w="1417" w:type="dxa"/>
          </w:tcPr>
          <w:p w14:paraId="45741A76" w14:textId="77777777" w:rsidR="002D68A8" w:rsidRPr="00BA2A78" w:rsidRDefault="002D68A8"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0</w:t>
            </w:r>
          </w:p>
        </w:tc>
      </w:tr>
    </w:tbl>
    <w:p w14:paraId="2405F534" w14:textId="77777777" w:rsidR="0059283C" w:rsidRDefault="0059283C" w:rsidP="00BD24DF">
      <w:pPr>
        <w:autoSpaceDE w:val="0"/>
        <w:autoSpaceDN w:val="0"/>
        <w:adjustRightInd w:val="0"/>
        <w:jc w:val="both"/>
        <w:rPr>
          <w:rFonts w:ascii="Arial" w:eastAsia="Times New Roman" w:hAnsi="Arial" w:cs="Arial"/>
          <w:bCs/>
          <w:sz w:val="20"/>
          <w:szCs w:val="20"/>
          <w:lang w:eastAsia="fr-FR"/>
        </w:rPr>
      </w:pPr>
    </w:p>
    <w:p w14:paraId="139C85F7" w14:textId="77777777" w:rsidR="00F1508F" w:rsidRPr="00FE5EE8" w:rsidRDefault="00F1508F" w:rsidP="00BD24DF">
      <w:pPr>
        <w:autoSpaceDE w:val="0"/>
        <w:autoSpaceDN w:val="0"/>
        <w:adjustRightInd w:val="0"/>
        <w:jc w:val="both"/>
        <w:rPr>
          <w:rFonts w:ascii="Arial" w:eastAsia="Times New Roman" w:hAnsi="Arial" w:cs="Arial"/>
          <w:bCs/>
          <w:sz w:val="20"/>
          <w:szCs w:val="20"/>
          <w:lang w:eastAsia="fr-FR"/>
        </w:rPr>
      </w:pPr>
    </w:p>
    <w:p w14:paraId="76CBFF70" w14:textId="77777777" w:rsidR="001A5A2C" w:rsidRPr="00011D87" w:rsidRDefault="009A06B5" w:rsidP="00BD24DF">
      <w:pPr>
        <w:autoSpaceDE w:val="0"/>
        <w:autoSpaceDN w:val="0"/>
        <w:adjustRightInd w:val="0"/>
        <w:jc w:val="both"/>
        <w:rPr>
          <w:rFonts w:ascii="Arial" w:eastAsia="Times New Roman" w:hAnsi="Arial" w:cs="Arial"/>
          <w:bCs/>
          <w:sz w:val="20"/>
          <w:szCs w:val="20"/>
          <w:lang w:eastAsia="fr-FR"/>
        </w:rPr>
      </w:pPr>
      <w:r>
        <w:rPr>
          <w:rFonts w:ascii="Arial" w:eastAsia="Times New Roman" w:hAnsi="Arial" w:cs="Arial"/>
          <w:bCs/>
          <w:sz w:val="20"/>
          <w:szCs w:val="20"/>
          <w:lang w:eastAsia="fr-FR"/>
        </w:rPr>
        <w:lastRenderedPageBreak/>
        <w:t xml:space="preserve">Au titre des </w:t>
      </w:r>
      <w:r w:rsidR="00040428" w:rsidRPr="007D37D2">
        <w:rPr>
          <w:rFonts w:ascii="Arial" w:eastAsia="Times New Roman" w:hAnsi="Arial" w:cs="Arial"/>
          <w:bCs/>
          <w:sz w:val="20"/>
          <w:szCs w:val="20"/>
          <w:lang w:eastAsia="fr-FR"/>
        </w:rPr>
        <w:t>investissements courant</w:t>
      </w:r>
      <w:r>
        <w:rPr>
          <w:rFonts w:ascii="Arial" w:eastAsia="Times New Roman" w:hAnsi="Arial" w:cs="Arial"/>
          <w:bCs/>
          <w:sz w:val="20"/>
          <w:szCs w:val="20"/>
          <w:lang w:eastAsia="fr-FR"/>
        </w:rPr>
        <w:t xml:space="preserve">s (renouvellement des </w:t>
      </w:r>
      <w:r w:rsidR="00040428" w:rsidRPr="007D37D2">
        <w:rPr>
          <w:rFonts w:ascii="Arial" w:eastAsia="Times New Roman" w:hAnsi="Arial" w:cs="Arial"/>
          <w:bCs/>
          <w:sz w:val="20"/>
          <w:szCs w:val="20"/>
          <w:lang w:eastAsia="fr-FR"/>
        </w:rPr>
        <w:t xml:space="preserve">matériels, mobiliers et équipements </w:t>
      </w:r>
      <w:proofErr w:type="gramStart"/>
      <w:r w:rsidR="00040428" w:rsidRPr="007D37D2">
        <w:rPr>
          <w:rFonts w:ascii="Arial" w:eastAsia="Times New Roman" w:hAnsi="Arial" w:cs="Arial"/>
          <w:bCs/>
          <w:sz w:val="20"/>
          <w:szCs w:val="20"/>
          <w:lang w:eastAsia="fr-FR"/>
        </w:rPr>
        <w:t>et  travaux</w:t>
      </w:r>
      <w:proofErr w:type="gramEnd"/>
      <w:r w:rsidR="00040428" w:rsidRPr="007D37D2">
        <w:rPr>
          <w:rFonts w:ascii="Arial" w:eastAsia="Times New Roman" w:hAnsi="Arial" w:cs="Arial"/>
          <w:bCs/>
          <w:sz w:val="20"/>
          <w:szCs w:val="20"/>
          <w:lang w:eastAsia="fr-FR"/>
        </w:rPr>
        <w:t xml:space="preserve"> </w:t>
      </w:r>
      <w:r>
        <w:rPr>
          <w:rFonts w:ascii="Arial" w:eastAsia="Times New Roman" w:hAnsi="Arial" w:cs="Arial"/>
          <w:bCs/>
          <w:sz w:val="20"/>
          <w:szCs w:val="20"/>
          <w:lang w:eastAsia="fr-FR"/>
        </w:rPr>
        <w:t xml:space="preserve"> </w:t>
      </w:r>
      <w:r w:rsidR="008C1233" w:rsidRPr="007D37D2">
        <w:rPr>
          <w:rFonts w:ascii="Arial" w:eastAsia="Times New Roman" w:hAnsi="Arial" w:cs="Arial"/>
          <w:bCs/>
          <w:sz w:val="20"/>
          <w:szCs w:val="20"/>
          <w:lang w:eastAsia="fr-FR"/>
        </w:rPr>
        <w:t>d’entretien</w:t>
      </w:r>
      <w:r>
        <w:rPr>
          <w:rFonts w:ascii="Arial" w:eastAsia="Times New Roman" w:hAnsi="Arial" w:cs="Arial"/>
          <w:bCs/>
          <w:sz w:val="20"/>
          <w:szCs w:val="20"/>
          <w:lang w:eastAsia="fr-FR"/>
        </w:rPr>
        <w:t xml:space="preserve"> courant du patrimoine) sont prévus </w:t>
      </w:r>
      <w:r w:rsidR="009261B6">
        <w:rPr>
          <w:rFonts w:ascii="Arial" w:eastAsia="Times New Roman" w:hAnsi="Arial" w:cs="Arial"/>
          <w:bCs/>
          <w:sz w:val="20"/>
          <w:szCs w:val="20"/>
          <w:lang w:eastAsia="fr-FR"/>
        </w:rPr>
        <w:t>en</w:t>
      </w:r>
      <w:r w:rsidR="001A5A2C" w:rsidRPr="00011D87">
        <w:rPr>
          <w:rFonts w:ascii="Arial" w:eastAsia="Times New Roman" w:hAnsi="Arial" w:cs="Arial"/>
          <w:bCs/>
          <w:sz w:val="20"/>
          <w:szCs w:val="20"/>
          <w:lang w:eastAsia="fr-FR"/>
        </w:rPr>
        <w:t xml:space="preserve"> 202</w:t>
      </w:r>
      <w:r w:rsidR="006E5675">
        <w:rPr>
          <w:rFonts w:ascii="Arial" w:eastAsia="Times New Roman" w:hAnsi="Arial" w:cs="Arial"/>
          <w:bCs/>
          <w:sz w:val="20"/>
          <w:szCs w:val="20"/>
          <w:lang w:eastAsia="fr-FR"/>
        </w:rPr>
        <w:t>2</w:t>
      </w:r>
      <w:r w:rsidR="008008DA">
        <w:rPr>
          <w:rFonts w:ascii="Arial" w:eastAsia="Times New Roman" w:hAnsi="Arial" w:cs="Arial"/>
          <w:bCs/>
          <w:sz w:val="20"/>
          <w:szCs w:val="20"/>
          <w:lang w:eastAsia="fr-FR"/>
        </w:rPr>
        <w:t xml:space="preserve"> des crédits sont prévus pour :</w:t>
      </w:r>
      <w:r w:rsidR="001A5A2C" w:rsidRPr="00011D87">
        <w:rPr>
          <w:rFonts w:ascii="Arial" w:eastAsia="Times New Roman" w:hAnsi="Arial" w:cs="Arial"/>
          <w:bCs/>
          <w:sz w:val="20"/>
          <w:szCs w:val="20"/>
          <w:lang w:eastAsia="fr-FR"/>
        </w:rPr>
        <w:t xml:space="preserve"> </w:t>
      </w:r>
    </w:p>
    <w:p w14:paraId="0B135A0F" w14:textId="77777777" w:rsidR="001A5A2C" w:rsidRDefault="008008DA" w:rsidP="001A5A2C">
      <w:pPr>
        <w:pStyle w:val="Paragraphedeliste"/>
        <w:numPr>
          <w:ilvl w:val="0"/>
          <w:numId w:val="9"/>
        </w:numPr>
        <w:autoSpaceDE w:val="0"/>
        <w:autoSpaceDN w:val="0"/>
        <w:adjustRightInd w:val="0"/>
        <w:jc w:val="both"/>
        <w:rPr>
          <w:rFonts w:ascii="Arial" w:eastAsia="Times New Roman" w:hAnsi="Arial" w:cs="Arial"/>
          <w:bCs/>
          <w:sz w:val="20"/>
          <w:szCs w:val="20"/>
          <w:lang w:eastAsia="fr-FR"/>
        </w:rPr>
      </w:pPr>
      <w:r>
        <w:rPr>
          <w:rFonts w:ascii="Arial" w:eastAsia="Times New Roman" w:hAnsi="Arial" w:cs="Arial"/>
          <w:bCs/>
          <w:sz w:val="20"/>
          <w:szCs w:val="20"/>
          <w:lang w:eastAsia="fr-FR"/>
        </w:rPr>
        <w:t>L’achat de logiciel</w:t>
      </w:r>
      <w:r w:rsidR="009261B6">
        <w:rPr>
          <w:rFonts w:ascii="Arial" w:eastAsia="Times New Roman" w:hAnsi="Arial" w:cs="Arial"/>
          <w:bCs/>
          <w:sz w:val="20"/>
          <w:szCs w:val="20"/>
          <w:lang w:eastAsia="fr-FR"/>
        </w:rPr>
        <w:t xml:space="preserve"> et de matériel informatique</w:t>
      </w:r>
      <w:r>
        <w:rPr>
          <w:rFonts w:ascii="Arial" w:eastAsia="Times New Roman" w:hAnsi="Arial" w:cs="Arial"/>
          <w:bCs/>
          <w:sz w:val="20"/>
          <w:szCs w:val="20"/>
          <w:lang w:eastAsia="fr-FR"/>
        </w:rPr>
        <w:t>s</w:t>
      </w:r>
      <w:r w:rsidR="009261B6">
        <w:rPr>
          <w:rFonts w:ascii="Arial" w:eastAsia="Times New Roman" w:hAnsi="Arial" w:cs="Arial"/>
          <w:bCs/>
          <w:sz w:val="20"/>
          <w:szCs w:val="20"/>
          <w:lang w:eastAsia="fr-FR"/>
        </w:rPr>
        <w:t xml:space="preserve"> pour les écoles et les services municipaux</w:t>
      </w:r>
      <w:r w:rsidR="001A5A2C" w:rsidRPr="00011D87">
        <w:rPr>
          <w:rFonts w:ascii="Arial" w:eastAsia="Times New Roman" w:hAnsi="Arial" w:cs="Arial"/>
          <w:bCs/>
          <w:sz w:val="20"/>
          <w:szCs w:val="20"/>
          <w:lang w:eastAsia="fr-FR"/>
        </w:rPr>
        <w:t xml:space="preserve"> (1</w:t>
      </w:r>
      <w:r w:rsidR="009261B6">
        <w:rPr>
          <w:rFonts w:ascii="Arial" w:eastAsia="Times New Roman" w:hAnsi="Arial" w:cs="Arial"/>
          <w:bCs/>
          <w:sz w:val="20"/>
          <w:szCs w:val="20"/>
          <w:lang w:eastAsia="fr-FR"/>
        </w:rPr>
        <w:t>75</w:t>
      </w:r>
      <w:r w:rsidR="001A5A2C" w:rsidRPr="00011D87">
        <w:rPr>
          <w:rFonts w:ascii="Arial" w:eastAsia="Times New Roman" w:hAnsi="Arial" w:cs="Arial"/>
          <w:bCs/>
          <w:sz w:val="20"/>
          <w:szCs w:val="20"/>
          <w:lang w:eastAsia="fr-FR"/>
        </w:rPr>
        <w:t xml:space="preserve"> </w:t>
      </w:r>
      <w:r w:rsidR="00106F33">
        <w:rPr>
          <w:rFonts w:ascii="Arial" w:eastAsia="Times New Roman" w:hAnsi="Arial" w:cs="Arial"/>
          <w:bCs/>
          <w:sz w:val="20"/>
          <w:szCs w:val="20"/>
          <w:lang w:eastAsia="fr-FR"/>
        </w:rPr>
        <w:t>K</w:t>
      </w:r>
      <w:r w:rsidR="001A5A2C" w:rsidRPr="00011D87">
        <w:rPr>
          <w:rFonts w:ascii="Arial" w:eastAsia="Times New Roman" w:hAnsi="Arial" w:cs="Arial"/>
          <w:bCs/>
          <w:sz w:val="20"/>
          <w:szCs w:val="20"/>
          <w:lang w:eastAsia="fr-FR"/>
        </w:rPr>
        <w:t>€)</w:t>
      </w:r>
      <w:r>
        <w:rPr>
          <w:rFonts w:ascii="Arial" w:eastAsia="Times New Roman" w:hAnsi="Arial" w:cs="Arial"/>
          <w:bCs/>
          <w:sz w:val="20"/>
          <w:szCs w:val="20"/>
          <w:lang w:eastAsia="fr-FR"/>
        </w:rPr>
        <w:t> ;</w:t>
      </w:r>
    </w:p>
    <w:p w14:paraId="0072BA5C" w14:textId="77777777" w:rsidR="00106F33" w:rsidRPr="00011D87" w:rsidRDefault="008008DA" w:rsidP="001A5A2C">
      <w:pPr>
        <w:pStyle w:val="Paragraphedeliste"/>
        <w:numPr>
          <w:ilvl w:val="0"/>
          <w:numId w:val="9"/>
        </w:numPr>
        <w:autoSpaceDE w:val="0"/>
        <w:autoSpaceDN w:val="0"/>
        <w:adjustRightInd w:val="0"/>
        <w:jc w:val="both"/>
        <w:rPr>
          <w:rFonts w:ascii="Arial" w:eastAsia="Times New Roman" w:hAnsi="Arial" w:cs="Arial"/>
          <w:bCs/>
          <w:sz w:val="20"/>
          <w:szCs w:val="20"/>
          <w:lang w:eastAsia="fr-FR"/>
        </w:rPr>
      </w:pPr>
      <w:r>
        <w:rPr>
          <w:rFonts w:ascii="Arial" w:eastAsia="Times New Roman" w:hAnsi="Arial" w:cs="Arial"/>
          <w:bCs/>
          <w:sz w:val="20"/>
          <w:szCs w:val="20"/>
          <w:lang w:eastAsia="fr-FR"/>
        </w:rPr>
        <w:t>L’achat de matériel</w:t>
      </w:r>
      <w:r w:rsidR="00106F33">
        <w:rPr>
          <w:rFonts w:ascii="Arial" w:eastAsia="Times New Roman" w:hAnsi="Arial" w:cs="Arial"/>
          <w:bCs/>
          <w:sz w:val="20"/>
          <w:szCs w:val="20"/>
          <w:lang w:eastAsia="fr-FR"/>
        </w:rPr>
        <w:t xml:space="preserve"> pour les ateliers et pour les bâtiments municipaux (ex. armoires électriques, automatismes …) (337 K€)</w:t>
      </w:r>
      <w:r>
        <w:rPr>
          <w:rFonts w:ascii="Arial" w:eastAsia="Times New Roman" w:hAnsi="Arial" w:cs="Arial"/>
          <w:bCs/>
          <w:sz w:val="20"/>
          <w:szCs w:val="20"/>
          <w:lang w:eastAsia="fr-FR"/>
        </w:rPr>
        <w:t> ;</w:t>
      </w:r>
    </w:p>
    <w:p w14:paraId="4C6404C8" w14:textId="77777777" w:rsidR="001A5A2C" w:rsidRPr="00011D87" w:rsidRDefault="009261B6" w:rsidP="001A5A2C">
      <w:pPr>
        <w:pStyle w:val="Paragraphedeliste"/>
        <w:numPr>
          <w:ilvl w:val="0"/>
          <w:numId w:val="9"/>
        </w:numPr>
        <w:autoSpaceDE w:val="0"/>
        <w:autoSpaceDN w:val="0"/>
        <w:adjustRightInd w:val="0"/>
        <w:jc w:val="both"/>
        <w:rPr>
          <w:rFonts w:ascii="Arial" w:eastAsia="Times New Roman" w:hAnsi="Arial" w:cs="Arial"/>
          <w:bCs/>
          <w:sz w:val="20"/>
          <w:szCs w:val="20"/>
          <w:lang w:eastAsia="fr-FR"/>
        </w:rPr>
      </w:pPr>
      <w:r>
        <w:rPr>
          <w:rFonts w:ascii="Arial" w:eastAsia="Times New Roman" w:hAnsi="Arial" w:cs="Arial"/>
          <w:bCs/>
          <w:sz w:val="20"/>
          <w:szCs w:val="20"/>
          <w:lang w:eastAsia="fr-FR"/>
        </w:rPr>
        <w:t>Le renouvellement d’une partie de la flotte des véhicules utilitaires</w:t>
      </w:r>
      <w:r w:rsidR="001A5A2C" w:rsidRPr="00011D87">
        <w:rPr>
          <w:rFonts w:ascii="Arial" w:eastAsia="Times New Roman" w:hAnsi="Arial" w:cs="Arial"/>
          <w:bCs/>
          <w:sz w:val="20"/>
          <w:szCs w:val="20"/>
          <w:lang w:eastAsia="fr-FR"/>
        </w:rPr>
        <w:t xml:space="preserve"> (</w:t>
      </w:r>
      <w:r>
        <w:rPr>
          <w:rFonts w:ascii="Arial" w:eastAsia="Times New Roman" w:hAnsi="Arial" w:cs="Arial"/>
          <w:bCs/>
          <w:sz w:val="20"/>
          <w:szCs w:val="20"/>
          <w:lang w:eastAsia="fr-FR"/>
        </w:rPr>
        <w:t>148</w:t>
      </w:r>
      <w:r w:rsidR="00610825">
        <w:rPr>
          <w:rFonts w:ascii="Arial" w:eastAsia="Times New Roman" w:hAnsi="Arial" w:cs="Arial"/>
          <w:bCs/>
          <w:sz w:val="20"/>
          <w:szCs w:val="20"/>
          <w:lang w:eastAsia="fr-FR"/>
        </w:rPr>
        <w:t xml:space="preserve"> K</w:t>
      </w:r>
      <w:r w:rsidR="001A5A2C" w:rsidRPr="00011D87">
        <w:rPr>
          <w:rFonts w:ascii="Arial" w:eastAsia="Times New Roman" w:hAnsi="Arial" w:cs="Arial"/>
          <w:bCs/>
          <w:sz w:val="20"/>
          <w:szCs w:val="20"/>
          <w:lang w:eastAsia="fr-FR"/>
        </w:rPr>
        <w:t>€)</w:t>
      </w:r>
      <w:r w:rsidR="008008DA">
        <w:rPr>
          <w:rFonts w:ascii="Arial" w:eastAsia="Times New Roman" w:hAnsi="Arial" w:cs="Arial"/>
          <w:bCs/>
          <w:sz w:val="20"/>
          <w:szCs w:val="20"/>
          <w:lang w:eastAsia="fr-FR"/>
        </w:rPr>
        <w:t> ;</w:t>
      </w:r>
    </w:p>
    <w:p w14:paraId="341850B0" w14:textId="77777777" w:rsidR="001A5A2C" w:rsidRDefault="009261B6" w:rsidP="001A5A2C">
      <w:pPr>
        <w:pStyle w:val="Paragraphedeliste"/>
        <w:numPr>
          <w:ilvl w:val="0"/>
          <w:numId w:val="9"/>
        </w:numPr>
        <w:autoSpaceDE w:val="0"/>
        <w:autoSpaceDN w:val="0"/>
        <w:adjustRightInd w:val="0"/>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L’achat d’un </w:t>
      </w:r>
      <w:r w:rsidR="00A668B5">
        <w:rPr>
          <w:rFonts w:ascii="Arial" w:eastAsia="Times New Roman" w:hAnsi="Arial" w:cs="Arial"/>
          <w:bCs/>
          <w:sz w:val="20"/>
          <w:szCs w:val="20"/>
          <w:lang w:eastAsia="fr-FR"/>
        </w:rPr>
        <w:t xml:space="preserve">tunnel de lavage </w:t>
      </w:r>
      <w:r>
        <w:rPr>
          <w:rFonts w:ascii="Arial" w:eastAsia="Times New Roman" w:hAnsi="Arial" w:cs="Arial"/>
          <w:bCs/>
          <w:sz w:val="20"/>
          <w:szCs w:val="20"/>
          <w:lang w:eastAsia="fr-FR"/>
        </w:rPr>
        <w:t>pour la cuisine centrale</w:t>
      </w:r>
      <w:r w:rsidR="001A5A2C" w:rsidRPr="00011D87">
        <w:rPr>
          <w:rFonts w:ascii="Arial" w:eastAsia="Times New Roman" w:hAnsi="Arial" w:cs="Arial"/>
          <w:bCs/>
          <w:sz w:val="20"/>
          <w:szCs w:val="20"/>
          <w:lang w:eastAsia="fr-FR"/>
        </w:rPr>
        <w:t xml:space="preserve"> (</w:t>
      </w:r>
      <w:r>
        <w:rPr>
          <w:rFonts w:ascii="Arial" w:eastAsia="Times New Roman" w:hAnsi="Arial" w:cs="Arial"/>
          <w:bCs/>
          <w:sz w:val="20"/>
          <w:szCs w:val="20"/>
          <w:lang w:eastAsia="fr-FR"/>
        </w:rPr>
        <w:t>110</w:t>
      </w:r>
      <w:r w:rsidR="00106F33">
        <w:rPr>
          <w:rFonts w:ascii="Arial" w:eastAsia="Times New Roman" w:hAnsi="Arial" w:cs="Arial"/>
          <w:bCs/>
          <w:sz w:val="20"/>
          <w:szCs w:val="20"/>
          <w:lang w:eastAsia="fr-FR"/>
        </w:rPr>
        <w:t xml:space="preserve"> K</w:t>
      </w:r>
      <w:r w:rsidR="001A5A2C" w:rsidRPr="00011D87">
        <w:rPr>
          <w:rFonts w:ascii="Arial" w:eastAsia="Times New Roman" w:hAnsi="Arial" w:cs="Arial"/>
          <w:bCs/>
          <w:sz w:val="20"/>
          <w:szCs w:val="20"/>
          <w:lang w:eastAsia="fr-FR"/>
        </w:rPr>
        <w:t>€)</w:t>
      </w:r>
      <w:r w:rsidR="008008DA">
        <w:rPr>
          <w:rFonts w:ascii="Arial" w:eastAsia="Times New Roman" w:hAnsi="Arial" w:cs="Arial"/>
          <w:bCs/>
          <w:sz w:val="20"/>
          <w:szCs w:val="20"/>
          <w:lang w:eastAsia="fr-FR"/>
        </w:rPr>
        <w:t> ;</w:t>
      </w:r>
    </w:p>
    <w:p w14:paraId="23DC41B0" w14:textId="77777777" w:rsidR="00106F33" w:rsidRPr="00106F33" w:rsidRDefault="009261B6" w:rsidP="00106F33">
      <w:pPr>
        <w:pStyle w:val="Paragraphedeliste"/>
        <w:numPr>
          <w:ilvl w:val="0"/>
          <w:numId w:val="9"/>
        </w:numPr>
        <w:autoSpaceDE w:val="0"/>
        <w:autoSpaceDN w:val="0"/>
        <w:adjustRightInd w:val="0"/>
        <w:jc w:val="both"/>
        <w:rPr>
          <w:rFonts w:ascii="Arial" w:eastAsia="Times New Roman" w:hAnsi="Arial" w:cs="Arial"/>
          <w:bCs/>
          <w:sz w:val="20"/>
          <w:szCs w:val="20"/>
          <w:lang w:eastAsia="fr-FR"/>
        </w:rPr>
      </w:pPr>
      <w:r>
        <w:rPr>
          <w:rFonts w:ascii="Arial" w:eastAsia="Times New Roman" w:hAnsi="Arial" w:cs="Arial"/>
          <w:bCs/>
          <w:sz w:val="20"/>
          <w:szCs w:val="20"/>
          <w:lang w:eastAsia="fr-FR"/>
        </w:rPr>
        <w:t>Le remplacement des mâts d’éclairage et l’installation d’un</w:t>
      </w:r>
      <w:r w:rsidR="00106F33">
        <w:rPr>
          <w:rFonts w:ascii="Arial" w:eastAsia="Times New Roman" w:hAnsi="Arial" w:cs="Arial"/>
          <w:bCs/>
          <w:sz w:val="20"/>
          <w:szCs w:val="20"/>
          <w:lang w:eastAsia="fr-FR"/>
        </w:rPr>
        <w:t xml:space="preserve"> street </w:t>
      </w:r>
      <w:proofErr w:type="spellStart"/>
      <w:r w:rsidR="00106F33">
        <w:rPr>
          <w:rFonts w:ascii="Arial" w:eastAsia="Times New Roman" w:hAnsi="Arial" w:cs="Arial"/>
          <w:bCs/>
          <w:sz w:val="20"/>
          <w:szCs w:val="20"/>
          <w:lang w:eastAsia="fr-FR"/>
        </w:rPr>
        <w:t>workout</w:t>
      </w:r>
      <w:proofErr w:type="spellEnd"/>
      <w:r w:rsidR="00106F33">
        <w:rPr>
          <w:rFonts w:ascii="Arial" w:eastAsia="Times New Roman" w:hAnsi="Arial" w:cs="Arial"/>
          <w:bCs/>
          <w:sz w:val="20"/>
          <w:szCs w:val="20"/>
          <w:lang w:eastAsia="fr-FR"/>
        </w:rPr>
        <w:t xml:space="preserve"> au stade de la Paix (145 K€) …</w:t>
      </w:r>
    </w:p>
    <w:p w14:paraId="53D0B6EE" w14:textId="77777777" w:rsidR="00610825" w:rsidRDefault="00106F33" w:rsidP="005274F6">
      <w:pPr>
        <w:autoSpaceDE w:val="0"/>
        <w:autoSpaceDN w:val="0"/>
        <w:adjustRightInd w:val="0"/>
        <w:jc w:val="both"/>
        <w:rPr>
          <w:rFonts w:ascii="Arial" w:eastAsia="Times New Roman" w:hAnsi="Arial" w:cs="Arial"/>
          <w:bCs/>
          <w:sz w:val="20"/>
          <w:szCs w:val="20"/>
          <w:lang w:eastAsia="fr-FR"/>
        </w:rPr>
      </w:pPr>
      <w:r>
        <w:rPr>
          <w:rFonts w:ascii="Arial" w:eastAsia="Times New Roman" w:hAnsi="Arial" w:cs="Arial"/>
          <w:bCs/>
          <w:sz w:val="20"/>
          <w:szCs w:val="20"/>
          <w:lang w:eastAsia="fr-FR"/>
        </w:rPr>
        <w:t>Au titre des trava</w:t>
      </w:r>
      <w:r w:rsidR="00610825">
        <w:rPr>
          <w:rFonts w:ascii="Arial" w:eastAsia="Times New Roman" w:hAnsi="Arial" w:cs="Arial"/>
          <w:bCs/>
          <w:sz w:val="20"/>
          <w:szCs w:val="20"/>
          <w:lang w:eastAsia="fr-FR"/>
        </w:rPr>
        <w:t>ux de rénovation du patrimoine,</w:t>
      </w:r>
      <w:r w:rsidR="00F414D1" w:rsidRPr="00011D87">
        <w:rPr>
          <w:rFonts w:ascii="Arial" w:eastAsia="Times New Roman" w:hAnsi="Arial" w:cs="Arial"/>
          <w:bCs/>
          <w:sz w:val="20"/>
          <w:szCs w:val="20"/>
          <w:lang w:eastAsia="fr-FR"/>
        </w:rPr>
        <w:t xml:space="preserve"> des crédits à hauteur de </w:t>
      </w:r>
      <w:r w:rsidR="00610825">
        <w:rPr>
          <w:rFonts w:ascii="Arial" w:eastAsia="Times New Roman" w:hAnsi="Arial" w:cs="Arial"/>
          <w:bCs/>
          <w:sz w:val="20"/>
          <w:szCs w:val="20"/>
          <w:lang w:eastAsia="fr-FR"/>
        </w:rPr>
        <w:t>1 345 K</w:t>
      </w:r>
      <w:r w:rsidR="00F414D1" w:rsidRPr="00011D87">
        <w:rPr>
          <w:rFonts w:ascii="Arial" w:eastAsia="Times New Roman" w:hAnsi="Arial" w:cs="Arial"/>
          <w:bCs/>
          <w:sz w:val="20"/>
          <w:szCs w:val="20"/>
          <w:lang w:eastAsia="fr-FR"/>
        </w:rPr>
        <w:t xml:space="preserve">€ </w:t>
      </w:r>
      <w:r w:rsidR="00610825">
        <w:rPr>
          <w:rFonts w:ascii="Arial" w:eastAsia="Times New Roman" w:hAnsi="Arial" w:cs="Arial"/>
          <w:bCs/>
          <w:sz w:val="20"/>
          <w:szCs w:val="20"/>
          <w:lang w:eastAsia="fr-FR"/>
        </w:rPr>
        <w:t xml:space="preserve">sont prévus en 2022 parmi lesquels peuvent être cités la mise en place d’automates de gestion des bâtiments dans les écoles Monod Coquelicots (120 K€), le remplacement d’une partie de la verrière de la bibliothèque (200 K€) ou les travaux </w:t>
      </w:r>
      <w:r w:rsidR="008008DA">
        <w:rPr>
          <w:rFonts w:ascii="Arial" w:eastAsia="Times New Roman" w:hAnsi="Arial" w:cs="Arial"/>
          <w:bCs/>
          <w:sz w:val="20"/>
          <w:szCs w:val="20"/>
          <w:lang w:eastAsia="fr-FR"/>
        </w:rPr>
        <w:t>de</w:t>
      </w:r>
      <w:r w:rsidR="00610825">
        <w:rPr>
          <w:rFonts w:ascii="Arial" w:eastAsia="Times New Roman" w:hAnsi="Arial" w:cs="Arial"/>
          <w:bCs/>
          <w:sz w:val="20"/>
          <w:szCs w:val="20"/>
          <w:lang w:eastAsia="fr-FR"/>
        </w:rPr>
        <w:t xml:space="preserve"> déclassement du gymnase Périquoi, le remplacement des portes d’entrée et des faux-plafonds des vestiaires (250 K€).</w:t>
      </w:r>
    </w:p>
    <w:p w14:paraId="0906B8EF" w14:textId="77777777" w:rsidR="00610825" w:rsidRDefault="00AC6ADF" w:rsidP="005274F6">
      <w:pPr>
        <w:autoSpaceDE w:val="0"/>
        <w:autoSpaceDN w:val="0"/>
        <w:adjustRightInd w:val="0"/>
        <w:jc w:val="both"/>
        <w:rPr>
          <w:rFonts w:ascii="Arial" w:eastAsia="Times New Roman" w:hAnsi="Arial" w:cs="Arial"/>
          <w:bCs/>
          <w:sz w:val="20"/>
          <w:szCs w:val="20"/>
          <w:lang w:eastAsia="fr-FR"/>
        </w:rPr>
      </w:pPr>
      <w:r>
        <w:rPr>
          <w:rFonts w:ascii="Arial" w:eastAsia="Times New Roman" w:hAnsi="Arial" w:cs="Arial"/>
          <w:bCs/>
          <w:sz w:val="20"/>
          <w:szCs w:val="20"/>
          <w:lang w:eastAsia="fr-FR"/>
        </w:rPr>
        <w:t>En ce qui concerne les travaux de transition écologique</w:t>
      </w:r>
      <w:r w:rsidR="0015177F">
        <w:rPr>
          <w:rFonts w:ascii="Arial" w:eastAsia="Times New Roman" w:hAnsi="Arial" w:cs="Arial"/>
          <w:bCs/>
          <w:sz w:val="20"/>
          <w:szCs w:val="20"/>
          <w:lang w:eastAsia="fr-FR"/>
        </w:rPr>
        <w:t>, une enveloppe de 2 174 K€ est prévue en 2022 pour permettre de réaliser notamment les opérations suivantes :</w:t>
      </w:r>
    </w:p>
    <w:p w14:paraId="61F14E96" w14:textId="77777777" w:rsidR="0015177F" w:rsidRDefault="0015177F" w:rsidP="0015177F">
      <w:pPr>
        <w:pStyle w:val="Paragraphedeliste"/>
        <w:numPr>
          <w:ilvl w:val="0"/>
          <w:numId w:val="9"/>
        </w:numPr>
        <w:autoSpaceDE w:val="0"/>
        <w:autoSpaceDN w:val="0"/>
        <w:adjustRightInd w:val="0"/>
        <w:jc w:val="both"/>
        <w:rPr>
          <w:rFonts w:ascii="Arial" w:eastAsia="Times New Roman" w:hAnsi="Arial" w:cs="Arial"/>
          <w:bCs/>
          <w:sz w:val="20"/>
          <w:szCs w:val="20"/>
          <w:lang w:eastAsia="fr-FR"/>
        </w:rPr>
      </w:pPr>
      <w:r>
        <w:rPr>
          <w:rFonts w:ascii="Arial" w:eastAsia="Times New Roman" w:hAnsi="Arial" w:cs="Arial"/>
          <w:bCs/>
          <w:sz w:val="20"/>
          <w:szCs w:val="20"/>
          <w:lang w:eastAsia="fr-FR"/>
        </w:rPr>
        <w:t>L’isolation et le remplacement des menuiseries du Centre technique municipal (538 K€) ;</w:t>
      </w:r>
    </w:p>
    <w:p w14:paraId="0160BF51" w14:textId="77777777" w:rsidR="0015177F" w:rsidRDefault="0015177F" w:rsidP="0015177F">
      <w:pPr>
        <w:pStyle w:val="Paragraphedeliste"/>
        <w:numPr>
          <w:ilvl w:val="0"/>
          <w:numId w:val="9"/>
        </w:numPr>
        <w:autoSpaceDE w:val="0"/>
        <w:autoSpaceDN w:val="0"/>
        <w:adjustRightInd w:val="0"/>
        <w:jc w:val="both"/>
        <w:rPr>
          <w:rFonts w:ascii="Arial" w:eastAsia="Times New Roman" w:hAnsi="Arial" w:cs="Arial"/>
          <w:bCs/>
          <w:sz w:val="20"/>
          <w:szCs w:val="20"/>
          <w:lang w:eastAsia="fr-FR"/>
        </w:rPr>
      </w:pPr>
      <w:r>
        <w:rPr>
          <w:rFonts w:ascii="Arial" w:eastAsia="Times New Roman" w:hAnsi="Arial" w:cs="Arial"/>
          <w:bCs/>
          <w:sz w:val="20"/>
          <w:szCs w:val="20"/>
          <w:lang w:eastAsia="fr-FR"/>
        </w:rPr>
        <w:t>La poursuite du remplacement des menuiseries à l’Hôtel-de-ville (façade arrière 80 K€) ;</w:t>
      </w:r>
    </w:p>
    <w:p w14:paraId="77982C56" w14:textId="77777777" w:rsidR="0015177F" w:rsidRDefault="0015177F" w:rsidP="0015177F">
      <w:pPr>
        <w:pStyle w:val="Paragraphedeliste"/>
        <w:numPr>
          <w:ilvl w:val="0"/>
          <w:numId w:val="9"/>
        </w:numPr>
        <w:autoSpaceDE w:val="0"/>
        <w:autoSpaceDN w:val="0"/>
        <w:adjustRightInd w:val="0"/>
        <w:jc w:val="both"/>
        <w:rPr>
          <w:rFonts w:ascii="Arial" w:eastAsia="Times New Roman" w:hAnsi="Arial" w:cs="Arial"/>
          <w:bCs/>
          <w:sz w:val="20"/>
          <w:szCs w:val="20"/>
          <w:lang w:eastAsia="fr-FR"/>
        </w:rPr>
      </w:pPr>
      <w:r>
        <w:rPr>
          <w:rFonts w:ascii="Arial" w:eastAsia="Times New Roman" w:hAnsi="Arial" w:cs="Arial"/>
          <w:bCs/>
          <w:sz w:val="20"/>
          <w:szCs w:val="20"/>
          <w:lang w:eastAsia="fr-FR"/>
        </w:rPr>
        <w:t>La réfection de la toiture avec isolation thermique du gymnase de la Paix (350 K€) ;</w:t>
      </w:r>
    </w:p>
    <w:p w14:paraId="23E9DC00" w14:textId="77777777" w:rsidR="0015177F" w:rsidRPr="0015177F" w:rsidRDefault="0015177F" w:rsidP="0015177F">
      <w:pPr>
        <w:pStyle w:val="Paragraphedeliste"/>
        <w:numPr>
          <w:ilvl w:val="0"/>
          <w:numId w:val="9"/>
        </w:numPr>
        <w:autoSpaceDE w:val="0"/>
        <w:autoSpaceDN w:val="0"/>
        <w:adjustRightInd w:val="0"/>
        <w:jc w:val="both"/>
        <w:rPr>
          <w:rFonts w:ascii="Arial" w:eastAsia="Times New Roman" w:hAnsi="Arial" w:cs="Arial"/>
          <w:bCs/>
          <w:sz w:val="20"/>
          <w:szCs w:val="20"/>
          <w:lang w:eastAsia="fr-FR"/>
        </w:rPr>
      </w:pPr>
      <w:r>
        <w:rPr>
          <w:rFonts w:ascii="Arial" w:eastAsia="Times New Roman" w:hAnsi="Arial" w:cs="Arial"/>
          <w:bCs/>
          <w:sz w:val="20"/>
          <w:szCs w:val="20"/>
          <w:lang w:eastAsia="fr-FR"/>
        </w:rPr>
        <w:t>L’achat de deux balayeuses électriques (885 K€).</w:t>
      </w:r>
    </w:p>
    <w:p w14:paraId="5DA9BBA6" w14:textId="77777777" w:rsidR="00847D57" w:rsidRPr="00847D57" w:rsidRDefault="00847D57" w:rsidP="00847D57">
      <w:pPr>
        <w:autoSpaceDE w:val="0"/>
        <w:autoSpaceDN w:val="0"/>
        <w:adjustRightInd w:val="0"/>
        <w:jc w:val="both"/>
        <w:rPr>
          <w:rFonts w:ascii="Arial" w:eastAsia="Times New Roman" w:hAnsi="Arial" w:cs="Arial"/>
          <w:bCs/>
          <w:sz w:val="20"/>
          <w:szCs w:val="20"/>
          <w:lang w:eastAsia="fr-FR"/>
        </w:rPr>
      </w:pPr>
      <w:r w:rsidRPr="00847D57">
        <w:rPr>
          <w:rFonts w:ascii="Arial" w:eastAsia="Times New Roman" w:hAnsi="Arial" w:cs="Arial"/>
          <w:bCs/>
          <w:sz w:val="20"/>
          <w:szCs w:val="20"/>
          <w:lang w:eastAsia="fr-FR"/>
        </w:rPr>
        <w:t>Dans le cadre des travaux d’adaptation des bâtiments, des travaux d’accessibilité sont prévus à l’école Les Marguerites et à l’école Les Frères Lumière</w:t>
      </w:r>
      <w:r>
        <w:rPr>
          <w:rFonts w:ascii="Arial" w:eastAsia="Times New Roman" w:hAnsi="Arial" w:cs="Arial"/>
          <w:bCs/>
          <w:sz w:val="20"/>
          <w:szCs w:val="20"/>
          <w:lang w:eastAsia="fr-FR"/>
        </w:rPr>
        <w:t xml:space="preserve"> (45 K€)</w:t>
      </w:r>
      <w:r w:rsidRPr="00847D57">
        <w:rPr>
          <w:rFonts w:ascii="Arial" w:eastAsia="Times New Roman" w:hAnsi="Arial" w:cs="Arial"/>
          <w:bCs/>
          <w:sz w:val="20"/>
          <w:szCs w:val="20"/>
          <w:lang w:eastAsia="fr-FR"/>
        </w:rPr>
        <w:t>, les travaux à engager avant 2025 dans le cadre de l’accessibilité des personnes à mobilité réduite aux bâtiments communaux faisant l’objet d’une programmation plus importante sur les exercices 2023 et 2024.</w:t>
      </w:r>
    </w:p>
    <w:p w14:paraId="5390AC5D" w14:textId="77777777" w:rsidR="00847D57" w:rsidRDefault="00A22F08" w:rsidP="005274F6">
      <w:pPr>
        <w:autoSpaceDE w:val="0"/>
        <w:autoSpaceDN w:val="0"/>
        <w:adjustRightInd w:val="0"/>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Au titre des nouveaux équipements et des aménagements urbains, les dépenses relatives à la programmation </w:t>
      </w:r>
      <w:r w:rsidR="00847D57" w:rsidRPr="00847D57">
        <w:rPr>
          <w:rFonts w:ascii="Arial" w:eastAsia="Times New Roman" w:hAnsi="Arial" w:cs="Arial"/>
          <w:bCs/>
          <w:sz w:val="20"/>
          <w:szCs w:val="20"/>
          <w:lang w:eastAsia="fr-FR"/>
        </w:rPr>
        <w:t xml:space="preserve">de </w:t>
      </w:r>
      <w:r>
        <w:rPr>
          <w:rFonts w:ascii="Arial" w:eastAsia="Times New Roman" w:hAnsi="Arial" w:cs="Arial"/>
          <w:bCs/>
          <w:sz w:val="20"/>
          <w:szCs w:val="20"/>
          <w:lang w:eastAsia="fr-FR"/>
        </w:rPr>
        <w:t xml:space="preserve">la </w:t>
      </w:r>
      <w:r w:rsidR="00847D57" w:rsidRPr="00847D57">
        <w:rPr>
          <w:rFonts w:ascii="Arial" w:eastAsia="Times New Roman" w:hAnsi="Arial" w:cs="Arial"/>
          <w:bCs/>
          <w:sz w:val="20"/>
          <w:szCs w:val="20"/>
          <w:lang w:eastAsia="fr-FR"/>
        </w:rPr>
        <w:t>réhabilitation du Groupe scolaire Pasteur – Roux</w:t>
      </w:r>
      <w:r>
        <w:rPr>
          <w:rFonts w:ascii="Arial" w:eastAsia="Times New Roman" w:hAnsi="Arial" w:cs="Arial"/>
          <w:bCs/>
          <w:sz w:val="20"/>
          <w:szCs w:val="20"/>
          <w:lang w:eastAsia="fr-FR"/>
        </w:rPr>
        <w:t xml:space="preserve"> (275 K€) et de celle du Parc des sports (50 K€) seront proposées en 2022. Il en est de même pour les études de l’ilot Roper (40 K€). Sont également prévus le réaménagement de l’espace sis 20 rue Maurice Ténine (320 K€) et le des travaux de végétalisation urbaine (160 K€)</w:t>
      </w:r>
    </w:p>
    <w:p w14:paraId="70315C8D" w14:textId="77777777" w:rsidR="008D1615" w:rsidRDefault="0034035B" w:rsidP="00040428">
      <w:pPr>
        <w:autoSpaceDE w:val="0"/>
        <w:autoSpaceDN w:val="0"/>
        <w:adjustRightInd w:val="0"/>
        <w:jc w:val="both"/>
        <w:rPr>
          <w:rFonts w:ascii="Arial" w:eastAsia="Times New Roman" w:hAnsi="Arial" w:cs="Arial"/>
          <w:bCs/>
          <w:sz w:val="20"/>
          <w:szCs w:val="20"/>
          <w:lang w:eastAsia="fr-FR"/>
        </w:rPr>
      </w:pPr>
      <w:r w:rsidRPr="00EB76FC">
        <w:rPr>
          <w:rFonts w:ascii="Arial" w:eastAsia="Times New Roman" w:hAnsi="Arial" w:cs="Arial"/>
          <w:bCs/>
          <w:sz w:val="20"/>
          <w:szCs w:val="20"/>
          <w:lang w:eastAsia="fr-FR"/>
        </w:rPr>
        <w:t>Le financement des investissements est assuré par les recettes constituées</w:t>
      </w:r>
      <w:r w:rsidR="008D1615">
        <w:rPr>
          <w:rFonts w:ascii="Arial" w:eastAsia="Times New Roman" w:hAnsi="Arial" w:cs="Arial"/>
          <w:bCs/>
          <w:sz w:val="20"/>
          <w:szCs w:val="20"/>
          <w:lang w:eastAsia="fr-FR"/>
        </w:rPr>
        <w:t xml:space="preserve"> : </w:t>
      </w:r>
    </w:p>
    <w:p w14:paraId="30B87539" w14:textId="77777777" w:rsidR="008D1615" w:rsidRDefault="0034035B" w:rsidP="008D1615">
      <w:pPr>
        <w:pStyle w:val="Paragraphedeliste"/>
        <w:numPr>
          <w:ilvl w:val="0"/>
          <w:numId w:val="6"/>
        </w:numPr>
        <w:autoSpaceDE w:val="0"/>
        <w:autoSpaceDN w:val="0"/>
        <w:adjustRightInd w:val="0"/>
        <w:jc w:val="both"/>
        <w:rPr>
          <w:rFonts w:ascii="Arial" w:eastAsia="Times New Roman" w:hAnsi="Arial" w:cs="Arial"/>
          <w:bCs/>
          <w:sz w:val="20"/>
          <w:szCs w:val="20"/>
          <w:lang w:eastAsia="fr-FR"/>
        </w:rPr>
      </w:pPr>
      <w:proofErr w:type="gramStart"/>
      <w:r w:rsidRPr="008D1615">
        <w:rPr>
          <w:rFonts w:ascii="Arial" w:eastAsia="Times New Roman" w:hAnsi="Arial" w:cs="Arial"/>
          <w:bCs/>
          <w:sz w:val="20"/>
          <w:szCs w:val="20"/>
          <w:lang w:eastAsia="fr-FR"/>
        </w:rPr>
        <w:t>du</w:t>
      </w:r>
      <w:proofErr w:type="gramEnd"/>
      <w:r w:rsidRPr="008D1615">
        <w:rPr>
          <w:rFonts w:ascii="Arial" w:eastAsia="Times New Roman" w:hAnsi="Arial" w:cs="Arial"/>
          <w:bCs/>
          <w:sz w:val="20"/>
          <w:szCs w:val="20"/>
          <w:lang w:eastAsia="fr-FR"/>
        </w:rPr>
        <w:t xml:space="preserve"> fonds de compensation pour la T</w:t>
      </w:r>
      <w:r w:rsidR="00106F33">
        <w:rPr>
          <w:rFonts w:ascii="Arial" w:eastAsia="Times New Roman" w:hAnsi="Arial" w:cs="Arial"/>
          <w:bCs/>
          <w:sz w:val="20"/>
          <w:szCs w:val="20"/>
          <w:lang w:eastAsia="fr-FR"/>
        </w:rPr>
        <w:t>.</w:t>
      </w:r>
      <w:r w:rsidRPr="008D1615">
        <w:rPr>
          <w:rFonts w:ascii="Arial" w:eastAsia="Times New Roman" w:hAnsi="Arial" w:cs="Arial"/>
          <w:bCs/>
          <w:sz w:val="20"/>
          <w:szCs w:val="20"/>
          <w:lang w:eastAsia="fr-FR"/>
        </w:rPr>
        <w:t>V</w:t>
      </w:r>
      <w:r w:rsidR="00106F33">
        <w:rPr>
          <w:rFonts w:ascii="Arial" w:eastAsia="Times New Roman" w:hAnsi="Arial" w:cs="Arial"/>
          <w:bCs/>
          <w:sz w:val="20"/>
          <w:szCs w:val="20"/>
          <w:lang w:eastAsia="fr-FR"/>
        </w:rPr>
        <w:t>.</w:t>
      </w:r>
      <w:r w:rsidRPr="008D1615">
        <w:rPr>
          <w:rFonts w:ascii="Arial" w:eastAsia="Times New Roman" w:hAnsi="Arial" w:cs="Arial"/>
          <w:bCs/>
          <w:sz w:val="20"/>
          <w:szCs w:val="20"/>
          <w:lang w:eastAsia="fr-FR"/>
        </w:rPr>
        <w:t>A</w:t>
      </w:r>
      <w:r w:rsidR="00106F33">
        <w:rPr>
          <w:rFonts w:ascii="Arial" w:eastAsia="Times New Roman" w:hAnsi="Arial" w:cs="Arial"/>
          <w:bCs/>
          <w:sz w:val="20"/>
          <w:szCs w:val="20"/>
          <w:lang w:eastAsia="fr-FR"/>
        </w:rPr>
        <w:t>.</w:t>
      </w:r>
      <w:r w:rsidRPr="008D1615">
        <w:rPr>
          <w:rFonts w:ascii="Arial" w:eastAsia="Times New Roman" w:hAnsi="Arial" w:cs="Arial"/>
          <w:bCs/>
          <w:sz w:val="20"/>
          <w:szCs w:val="20"/>
          <w:lang w:eastAsia="fr-FR"/>
        </w:rPr>
        <w:t xml:space="preserve"> (F</w:t>
      </w:r>
      <w:r w:rsidR="00106F33">
        <w:rPr>
          <w:rFonts w:ascii="Arial" w:eastAsia="Times New Roman" w:hAnsi="Arial" w:cs="Arial"/>
          <w:bCs/>
          <w:sz w:val="20"/>
          <w:szCs w:val="20"/>
          <w:lang w:eastAsia="fr-FR"/>
        </w:rPr>
        <w:t>.</w:t>
      </w:r>
      <w:r w:rsidRPr="008D1615">
        <w:rPr>
          <w:rFonts w:ascii="Arial" w:eastAsia="Times New Roman" w:hAnsi="Arial" w:cs="Arial"/>
          <w:bCs/>
          <w:sz w:val="20"/>
          <w:szCs w:val="20"/>
          <w:lang w:eastAsia="fr-FR"/>
        </w:rPr>
        <w:t>C</w:t>
      </w:r>
      <w:r w:rsidR="00106F33">
        <w:rPr>
          <w:rFonts w:ascii="Arial" w:eastAsia="Times New Roman" w:hAnsi="Arial" w:cs="Arial"/>
          <w:bCs/>
          <w:sz w:val="20"/>
          <w:szCs w:val="20"/>
          <w:lang w:eastAsia="fr-FR"/>
        </w:rPr>
        <w:t>.</w:t>
      </w:r>
      <w:r w:rsidRPr="008D1615">
        <w:rPr>
          <w:rFonts w:ascii="Arial" w:eastAsia="Times New Roman" w:hAnsi="Arial" w:cs="Arial"/>
          <w:bCs/>
          <w:sz w:val="20"/>
          <w:szCs w:val="20"/>
          <w:lang w:eastAsia="fr-FR"/>
        </w:rPr>
        <w:t>T</w:t>
      </w:r>
      <w:r w:rsidR="00106F33">
        <w:rPr>
          <w:rFonts w:ascii="Arial" w:eastAsia="Times New Roman" w:hAnsi="Arial" w:cs="Arial"/>
          <w:bCs/>
          <w:sz w:val="20"/>
          <w:szCs w:val="20"/>
          <w:lang w:eastAsia="fr-FR"/>
        </w:rPr>
        <w:t>.</w:t>
      </w:r>
      <w:r w:rsidRPr="008D1615">
        <w:rPr>
          <w:rFonts w:ascii="Arial" w:eastAsia="Times New Roman" w:hAnsi="Arial" w:cs="Arial"/>
          <w:bCs/>
          <w:sz w:val="20"/>
          <w:szCs w:val="20"/>
          <w:lang w:eastAsia="fr-FR"/>
        </w:rPr>
        <w:t>V</w:t>
      </w:r>
      <w:r w:rsidR="00106F33">
        <w:rPr>
          <w:rFonts w:ascii="Arial" w:eastAsia="Times New Roman" w:hAnsi="Arial" w:cs="Arial"/>
          <w:bCs/>
          <w:sz w:val="20"/>
          <w:szCs w:val="20"/>
          <w:lang w:eastAsia="fr-FR"/>
        </w:rPr>
        <w:t>.</w:t>
      </w:r>
      <w:r w:rsidRPr="008D1615">
        <w:rPr>
          <w:rFonts w:ascii="Arial" w:eastAsia="Times New Roman" w:hAnsi="Arial" w:cs="Arial"/>
          <w:bCs/>
          <w:sz w:val="20"/>
          <w:szCs w:val="20"/>
          <w:lang w:eastAsia="fr-FR"/>
        </w:rPr>
        <w:t>A</w:t>
      </w:r>
      <w:r w:rsidR="00106F33">
        <w:rPr>
          <w:rFonts w:ascii="Arial" w:eastAsia="Times New Roman" w:hAnsi="Arial" w:cs="Arial"/>
          <w:bCs/>
          <w:sz w:val="20"/>
          <w:szCs w:val="20"/>
          <w:lang w:eastAsia="fr-FR"/>
        </w:rPr>
        <w:t>.</w:t>
      </w:r>
      <w:r w:rsidRPr="008D1615">
        <w:rPr>
          <w:rFonts w:ascii="Arial" w:eastAsia="Times New Roman" w:hAnsi="Arial" w:cs="Arial"/>
          <w:bCs/>
          <w:sz w:val="20"/>
          <w:szCs w:val="20"/>
          <w:lang w:eastAsia="fr-FR"/>
        </w:rPr>
        <w:t xml:space="preserve">), </w:t>
      </w:r>
    </w:p>
    <w:p w14:paraId="2F75EA0B" w14:textId="77777777" w:rsidR="008D1615" w:rsidRDefault="008C1233" w:rsidP="008D1615">
      <w:pPr>
        <w:pStyle w:val="Paragraphedeliste"/>
        <w:numPr>
          <w:ilvl w:val="0"/>
          <w:numId w:val="6"/>
        </w:numPr>
        <w:autoSpaceDE w:val="0"/>
        <w:autoSpaceDN w:val="0"/>
        <w:adjustRightInd w:val="0"/>
        <w:jc w:val="both"/>
        <w:rPr>
          <w:rFonts w:ascii="Arial" w:eastAsia="Times New Roman" w:hAnsi="Arial" w:cs="Arial"/>
          <w:bCs/>
          <w:sz w:val="20"/>
          <w:szCs w:val="20"/>
          <w:lang w:eastAsia="fr-FR"/>
        </w:rPr>
      </w:pPr>
      <w:proofErr w:type="gramStart"/>
      <w:r w:rsidRPr="008D1615">
        <w:rPr>
          <w:rFonts w:ascii="Arial" w:eastAsia="Times New Roman" w:hAnsi="Arial" w:cs="Arial"/>
          <w:bCs/>
          <w:sz w:val="20"/>
          <w:szCs w:val="20"/>
          <w:lang w:eastAsia="fr-FR"/>
        </w:rPr>
        <w:t>de</w:t>
      </w:r>
      <w:proofErr w:type="gramEnd"/>
      <w:r w:rsidRPr="008D1615">
        <w:rPr>
          <w:rFonts w:ascii="Arial" w:eastAsia="Times New Roman" w:hAnsi="Arial" w:cs="Arial"/>
          <w:bCs/>
          <w:sz w:val="20"/>
          <w:szCs w:val="20"/>
          <w:lang w:eastAsia="fr-FR"/>
        </w:rPr>
        <w:t xml:space="preserve"> </w:t>
      </w:r>
      <w:r w:rsidR="0034035B" w:rsidRPr="008D1615">
        <w:rPr>
          <w:rFonts w:ascii="Arial" w:eastAsia="Times New Roman" w:hAnsi="Arial" w:cs="Arial"/>
          <w:bCs/>
          <w:sz w:val="20"/>
          <w:szCs w:val="20"/>
          <w:lang w:eastAsia="fr-FR"/>
        </w:rPr>
        <w:t xml:space="preserve">la taxe d’aménagement, </w:t>
      </w:r>
    </w:p>
    <w:p w14:paraId="59A075C5" w14:textId="77777777" w:rsidR="008D1615" w:rsidRDefault="008C1233" w:rsidP="008D1615">
      <w:pPr>
        <w:pStyle w:val="Paragraphedeliste"/>
        <w:numPr>
          <w:ilvl w:val="0"/>
          <w:numId w:val="6"/>
        </w:numPr>
        <w:autoSpaceDE w:val="0"/>
        <w:autoSpaceDN w:val="0"/>
        <w:adjustRightInd w:val="0"/>
        <w:jc w:val="both"/>
        <w:rPr>
          <w:rFonts w:ascii="Arial" w:eastAsia="Times New Roman" w:hAnsi="Arial" w:cs="Arial"/>
          <w:bCs/>
          <w:sz w:val="20"/>
          <w:szCs w:val="20"/>
          <w:lang w:eastAsia="fr-FR"/>
        </w:rPr>
      </w:pPr>
      <w:proofErr w:type="gramStart"/>
      <w:r w:rsidRPr="008D1615">
        <w:rPr>
          <w:rFonts w:ascii="Arial" w:eastAsia="Times New Roman" w:hAnsi="Arial" w:cs="Arial"/>
          <w:bCs/>
          <w:sz w:val="20"/>
          <w:szCs w:val="20"/>
          <w:lang w:eastAsia="fr-FR"/>
        </w:rPr>
        <w:t>des</w:t>
      </w:r>
      <w:proofErr w:type="gramEnd"/>
      <w:r w:rsidR="00040428" w:rsidRPr="008D1615">
        <w:rPr>
          <w:rFonts w:ascii="Arial" w:eastAsia="Times New Roman" w:hAnsi="Arial" w:cs="Arial"/>
          <w:bCs/>
          <w:sz w:val="20"/>
          <w:szCs w:val="20"/>
          <w:lang w:eastAsia="fr-FR"/>
        </w:rPr>
        <w:t xml:space="preserve"> subventions d’investissement, </w:t>
      </w:r>
    </w:p>
    <w:p w14:paraId="7BD2F53B" w14:textId="77777777" w:rsidR="00040428" w:rsidRPr="008D1615" w:rsidRDefault="00040428" w:rsidP="008D1615">
      <w:pPr>
        <w:pStyle w:val="Paragraphedeliste"/>
        <w:numPr>
          <w:ilvl w:val="0"/>
          <w:numId w:val="6"/>
        </w:numPr>
        <w:autoSpaceDE w:val="0"/>
        <w:autoSpaceDN w:val="0"/>
        <w:adjustRightInd w:val="0"/>
        <w:jc w:val="both"/>
        <w:rPr>
          <w:rFonts w:ascii="Arial" w:eastAsia="Times New Roman" w:hAnsi="Arial" w:cs="Arial"/>
          <w:bCs/>
          <w:sz w:val="20"/>
          <w:szCs w:val="20"/>
          <w:lang w:eastAsia="fr-FR"/>
        </w:rPr>
      </w:pPr>
      <w:proofErr w:type="gramStart"/>
      <w:r w:rsidRPr="008D1615">
        <w:rPr>
          <w:rFonts w:ascii="Arial" w:eastAsia="Times New Roman" w:hAnsi="Arial" w:cs="Arial"/>
          <w:bCs/>
          <w:sz w:val="20"/>
          <w:szCs w:val="20"/>
          <w:lang w:eastAsia="fr-FR"/>
        </w:rPr>
        <w:t>du</w:t>
      </w:r>
      <w:proofErr w:type="gramEnd"/>
      <w:r w:rsidRPr="008D1615">
        <w:rPr>
          <w:rFonts w:ascii="Arial" w:eastAsia="Times New Roman" w:hAnsi="Arial" w:cs="Arial"/>
          <w:bCs/>
          <w:sz w:val="20"/>
          <w:szCs w:val="20"/>
          <w:lang w:eastAsia="fr-FR"/>
        </w:rPr>
        <w:t xml:space="preserve"> recours à l’emprunt ainsi que de l’autofinancement.</w:t>
      </w:r>
    </w:p>
    <w:p w14:paraId="6716E380" w14:textId="77777777" w:rsidR="00610825" w:rsidRDefault="00275251" w:rsidP="00040428">
      <w:pPr>
        <w:autoSpaceDE w:val="0"/>
        <w:autoSpaceDN w:val="0"/>
        <w:adjustRightInd w:val="0"/>
        <w:jc w:val="both"/>
        <w:rPr>
          <w:rFonts w:ascii="Arial" w:eastAsia="Times New Roman" w:hAnsi="Arial" w:cs="Arial"/>
          <w:bCs/>
          <w:sz w:val="20"/>
          <w:szCs w:val="20"/>
          <w:lang w:eastAsia="fr-FR"/>
        </w:rPr>
      </w:pPr>
      <w:r>
        <w:rPr>
          <w:rFonts w:ascii="Arial" w:eastAsia="Times New Roman" w:hAnsi="Arial" w:cs="Arial"/>
          <w:bCs/>
          <w:sz w:val="20"/>
          <w:szCs w:val="20"/>
          <w:lang w:eastAsia="fr-FR"/>
        </w:rPr>
        <w:t>Une démarche de recherche de fina</w:t>
      </w:r>
      <w:r w:rsidR="009E2D24">
        <w:rPr>
          <w:rFonts w:ascii="Arial" w:eastAsia="Times New Roman" w:hAnsi="Arial" w:cs="Arial"/>
          <w:bCs/>
          <w:sz w:val="20"/>
          <w:szCs w:val="20"/>
          <w:lang w:eastAsia="fr-FR"/>
        </w:rPr>
        <w:t xml:space="preserve">ncements publics a été engagée </w:t>
      </w:r>
      <w:r>
        <w:rPr>
          <w:rFonts w:ascii="Arial" w:eastAsia="Times New Roman" w:hAnsi="Arial" w:cs="Arial"/>
          <w:bCs/>
          <w:sz w:val="20"/>
          <w:szCs w:val="20"/>
          <w:lang w:eastAsia="fr-FR"/>
        </w:rPr>
        <w:t xml:space="preserve">pour réduire le coût pour la collectivité, maîtriser l’évolution de la dette et pouvoir engager ces investissements dans les meilleurs délais. Des crédits </w:t>
      </w:r>
      <w:r w:rsidR="00D67ADB">
        <w:rPr>
          <w:rFonts w:ascii="Arial" w:eastAsia="Times New Roman" w:hAnsi="Arial" w:cs="Arial"/>
          <w:bCs/>
          <w:sz w:val="20"/>
          <w:szCs w:val="20"/>
          <w:lang w:eastAsia="fr-FR"/>
        </w:rPr>
        <w:t xml:space="preserve">de subventions, </w:t>
      </w:r>
      <w:r>
        <w:rPr>
          <w:rFonts w:ascii="Arial" w:eastAsia="Times New Roman" w:hAnsi="Arial" w:cs="Arial"/>
          <w:bCs/>
          <w:sz w:val="20"/>
          <w:szCs w:val="20"/>
          <w:lang w:eastAsia="fr-FR"/>
        </w:rPr>
        <w:t>estimés à la somme de 1 639 K€</w:t>
      </w:r>
      <w:r w:rsidR="00D67ADB">
        <w:rPr>
          <w:rFonts w:ascii="Arial" w:eastAsia="Times New Roman" w:hAnsi="Arial" w:cs="Arial"/>
          <w:bCs/>
          <w:sz w:val="20"/>
          <w:szCs w:val="20"/>
          <w:lang w:eastAsia="fr-FR"/>
        </w:rPr>
        <w:t>,</w:t>
      </w:r>
      <w:r>
        <w:rPr>
          <w:rFonts w:ascii="Arial" w:eastAsia="Times New Roman" w:hAnsi="Arial" w:cs="Arial"/>
          <w:bCs/>
          <w:sz w:val="20"/>
          <w:szCs w:val="20"/>
          <w:lang w:eastAsia="fr-FR"/>
        </w:rPr>
        <w:t xml:space="preserve"> sont prévus en 2022, l’engagement d’une partie des investissements étant conditionné à l’obtention d’une participation des différents financeurs. </w:t>
      </w:r>
    </w:p>
    <w:p w14:paraId="74228422" w14:textId="77777777" w:rsidR="00275251" w:rsidRDefault="00275251" w:rsidP="00040428">
      <w:pPr>
        <w:autoSpaceDE w:val="0"/>
        <w:autoSpaceDN w:val="0"/>
        <w:adjustRightInd w:val="0"/>
        <w:jc w:val="both"/>
        <w:rPr>
          <w:rFonts w:ascii="Arial" w:eastAsia="Times New Roman" w:hAnsi="Arial" w:cs="Arial"/>
          <w:bCs/>
          <w:sz w:val="20"/>
          <w:szCs w:val="20"/>
          <w:lang w:eastAsia="fr-FR"/>
        </w:rPr>
      </w:pPr>
    </w:p>
    <w:p w14:paraId="6B33F600" w14:textId="77777777" w:rsidR="00377B5F" w:rsidRDefault="00377B5F" w:rsidP="00040428">
      <w:pPr>
        <w:autoSpaceDE w:val="0"/>
        <w:autoSpaceDN w:val="0"/>
        <w:adjustRightInd w:val="0"/>
        <w:jc w:val="both"/>
        <w:rPr>
          <w:rFonts w:ascii="Arial" w:eastAsia="Times New Roman" w:hAnsi="Arial" w:cs="Arial"/>
          <w:bCs/>
          <w:sz w:val="20"/>
          <w:szCs w:val="20"/>
          <w:lang w:eastAsia="fr-FR"/>
        </w:rPr>
      </w:pPr>
    </w:p>
    <w:p w14:paraId="43713C56" w14:textId="77777777" w:rsidR="00377B5F" w:rsidRDefault="00377B5F" w:rsidP="00040428">
      <w:pPr>
        <w:autoSpaceDE w:val="0"/>
        <w:autoSpaceDN w:val="0"/>
        <w:adjustRightInd w:val="0"/>
        <w:jc w:val="both"/>
        <w:rPr>
          <w:rFonts w:ascii="Arial" w:eastAsia="Times New Roman" w:hAnsi="Arial" w:cs="Arial"/>
          <w:bCs/>
          <w:sz w:val="20"/>
          <w:szCs w:val="20"/>
          <w:lang w:eastAsia="fr-FR"/>
        </w:rPr>
      </w:pPr>
    </w:p>
    <w:p w14:paraId="6A247D17" w14:textId="77777777" w:rsidR="00572E5E" w:rsidRPr="00FE5EE8" w:rsidRDefault="00572E5E" w:rsidP="00572E5E">
      <w:pPr>
        <w:spacing w:before="100" w:beforeAutospacing="1" w:after="100" w:afterAutospacing="1" w:line="240" w:lineRule="auto"/>
        <w:outlineLvl w:val="1"/>
        <w:rPr>
          <w:rFonts w:ascii="Arial" w:eastAsia="Times New Roman" w:hAnsi="Arial" w:cs="Arial"/>
          <w:b/>
          <w:bCs/>
          <w:sz w:val="20"/>
          <w:szCs w:val="20"/>
          <w:lang w:eastAsia="fr-FR"/>
        </w:rPr>
      </w:pPr>
      <w:r w:rsidRPr="00FE5EE8">
        <w:rPr>
          <w:rFonts w:ascii="Arial" w:eastAsia="Times New Roman" w:hAnsi="Arial" w:cs="Arial"/>
          <w:b/>
          <w:bCs/>
          <w:sz w:val="20"/>
          <w:szCs w:val="20"/>
          <w:lang w:eastAsia="fr-FR"/>
        </w:rPr>
        <w:lastRenderedPageBreak/>
        <w:t>3.4 – La dette</w:t>
      </w:r>
    </w:p>
    <w:p w14:paraId="14DFD0FF" w14:textId="77777777" w:rsidR="003F69C8" w:rsidRPr="00711D13" w:rsidRDefault="003B4739" w:rsidP="001C29C7">
      <w:pPr>
        <w:autoSpaceDE w:val="0"/>
        <w:autoSpaceDN w:val="0"/>
        <w:adjustRightInd w:val="0"/>
        <w:jc w:val="both"/>
        <w:rPr>
          <w:rFonts w:ascii="Arial" w:eastAsia="Times New Roman" w:hAnsi="Arial" w:cs="Arial"/>
          <w:bCs/>
          <w:sz w:val="20"/>
          <w:szCs w:val="20"/>
          <w:lang w:eastAsia="fr-FR"/>
        </w:rPr>
      </w:pPr>
      <w:r w:rsidRPr="00711D13">
        <w:rPr>
          <w:rFonts w:ascii="Arial" w:eastAsia="Times New Roman" w:hAnsi="Arial" w:cs="Arial"/>
          <w:bCs/>
          <w:sz w:val="20"/>
          <w:szCs w:val="20"/>
          <w:lang w:eastAsia="fr-FR"/>
        </w:rPr>
        <w:t xml:space="preserve">Au 31 </w:t>
      </w:r>
      <w:r w:rsidR="00431AC6">
        <w:rPr>
          <w:rFonts w:ascii="Arial" w:eastAsia="Times New Roman" w:hAnsi="Arial" w:cs="Arial"/>
          <w:bCs/>
          <w:sz w:val="20"/>
          <w:szCs w:val="20"/>
          <w:lang w:eastAsia="fr-FR"/>
        </w:rPr>
        <w:t>décembre 2021</w:t>
      </w:r>
      <w:r w:rsidR="001A6EF9" w:rsidRPr="00711D13">
        <w:rPr>
          <w:rFonts w:ascii="Arial" w:eastAsia="Times New Roman" w:hAnsi="Arial" w:cs="Arial"/>
          <w:bCs/>
          <w:sz w:val="20"/>
          <w:szCs w:val="20"/>
          <w:lang w:eastAsia="fr-FR"/>
        </w:rPr>
        <w:t xml:space="preserve">, l’encours de la dette s’élèvera à </w:t>
      </w:r>
      <w:r w:rsidR="00431AC6">
        <w:rPr>
          <w:rFonts w:ascii="Arial" w:eastAsia="Times New Roman" w:hAnsi="Arial" w:cs="Arial"/>
          <w:bCs/>
          <w:sz w:val="20"/>
          <w:szCs w:val="20"/>
          <w:lang w:eastAsia="fr-FR"/>
        </w:rPr>
        <w:t>25 555 251,66</w:t>
      </w:r>
      <w:r w:rsidR="005B7C04" w:rsidRPr="00711D13">
        <w:rPr>
          <w:rFonts w:ascii="Arial" w:eastAsia="Times New Roman" w:hAnsi="Arial" w:cs="Arial"/>
          <w:bCs/>
          <w:sz w:val="20"/>
          <w:szCs w:val="20"/>
          <w:lang w:eastAsia="fr-FR"/>
        </w:rPr>
        <w:t xml:space="preserve"> euros au</w:t>
      </w:r>
      <w:r w:rsidR="00C20B98" w:rsidRPr="00711D13">
        <w:rPr>
          <w:rFonts w:ascii="Arial" w:eastAsia="Times New Roman" w:hAnsi="Arial" w:cs="Arial"/>
          <w:bCs/>
          <w:sz w:val="20"/>
          <w:szCs w:val="20"/>
          <w:lang w:eastAsia="fr-FR"/>
        </w:rPr>
        <w:t>x</w:t>
      </w:r>
      <w:r w:rsidR="005B7C04" w:rsidRPr="00711D13">
        <w:rPr>
          <w:rFonts w:ascii="Arial" w:eastAsia="Times New Roman" w:hAnsi="Arial" w:cs="Arial"/>
          <w:bCs/>
          <w:sz w:val="20"/>
          <w:szCs w:val="20"/>
          <w:lang w:eastAsia="fr-FR"/>
        </w:rPr>
        <w:t>quel</w:t>
      </w:r>
      <w:r w:rsidR="00C20B98" w:rsidRPr="00711D13">
        <w:rPr>
          <w:rFonts w:ascii="Arial" w:eastAsia="Times New Roman" w:hAnsi="Arial" w:cs="Arial"/>
          <w:bCs/>
          <w:sz w:val="20"/>
          <w:szCs w:val="20"/>
          <w:lang w:eastAsia="fr-FR"/>
        </w:rPr>
        <w:t>s</w:t>
      </w:r>
      <w:r w:rsidR="005B7C04" w:rsidRPr="00711D13">
        <w:rPr>
          <w:rFonts w:ascii="Arial" w:eastAsia="Times New Roman" w:hAnsi="Arial" w:cs="Arial"/>
          <w:bCs/>
          <w:sz w:val="20"/>
          <w:szCs w:val="20"/>
          <w:lang w:eastAsia="fr-FR"/>
        </w:rPr>
        <w:t xml:space="preserve"> s’ajoutent </w:t>
      </w:r>
      <w:r w:rsidR="00A22FBF">
        <w:rPr>
          <w:rFonts w:ascii="Arial" w:eastAsia="Times New Roman" w:hAnsi="Arial" w:cs="Arial"/>
          <w:bCs/>
          <w:sz w:val="20"/>
          <w:szCs w:val="20"/>
          <w:lang w:eastAsia="fr-FR"/>
        </w:rPr>
        <w:t>un prêt signé en décembre 2021</w:t>
      </w:r>
      <w:r w:rsidR="005B7C04" w:rsidRPr="00711D13">
        <w:rPr>
          <w:rFonts w:ascii="Arial" w:eastAsia="Times New Roman" w:hAnsi="Arial" w:cs="Arial"/>
          <w:bCs/>
          <w:sz w:val="20"/>
          <w:szCs w:val="20"/>
          <w:lang w:eastAsia="fr-FR"/>
        </w:rPr>
        <w:t xml:space="preserve"> pour un montant total de </w:t>
      </w:r>
      <w:r w:rsidR="00A22FBF">
        <w:rPr>
          <w:rFonts w:ascii="Arial" w:eastAsia="Times New Roman" w:hAnsi="Arial" w:cs="Arial"/>
          <w:bCs/>
          <w:sz w:val="20"/>
          <w:szCs w:val="20"/>
          <w:lang w:eastAsia="fr-FR"/>
        </w:rPr>
        <w:t>750</w:t>
      </w:r>
      <w:r w:rsidR="005B7C04" w:rsidRPr="00711D13">
        <w:rPr>
          <w:rFonts w:ascii="Arial" w:eastAsia="Times New Roman" w:hAnsi="Arial" w:cs="Arial"/>
          <w:bCs/>
          <w:sz w:val="20"/>
          <w:szCs w:val="20"/>
          <w:lang w:eastAsia="fr-FR"/>
        </w:rPr>
        <w:t> 000 euros dont le déblocage intervien</w:t>
      </w:r>
      <w:r w:rsidR="00100A39" w:rsidRPr="00711D13">
        <w:rPr>
          <w:rFonts w:ascii="Arial" w:eastAsia="Times New Roman" w:hAnsi="Arial" w:cs="Arial"/>
          <w:bCs/>
          <w:sz w:val="20"/>
          <w:szCs w:val="20"/>
          <w:lang w:eastAsia="fr-FR"/>
        </w:rPr>
        <w:t>dra</w:t>
      </w:r>
      <w:r w:rsidR="005B7C04" w:rsidRPr="00711D13">
        <w:rPr>
          <w:rFonts w:ascii="Arial" w:eastAsia="Times New Roman" w:hAnsi="Arial" w:cs="Arial"/>
          <w:bCs/>
          <w:sz w:val="20"/>
          <w:szCs w:val="20"/>
          <w:lang w:eastAsia="fr-FR"/>
        </w:rPr>
        <w:t xml:space="preserve"> courant 202</w:t>
      </w:r>
      <w:r w:rsidR="00A22FBF">
        <w:rPr>
          <w:rFonts w:ascii="Arial" w:eastAsia="Times New Roman" w:hAnsi="Arial" w:cs="Arial"/>
          <w:bCs/>
          <w:sz w:val="20"/>
          <w:szCs w:val="20"/>
          <w:lang w:eastAsia="fr-FR"/>
        </w:rPr>
        <w:t>2</w:t>
      </w:r>
      <w:r w:rsidR="005B7C04" w:rsidRPr="00711D13">
        <w:rPr>
          <w:rFonts w:ascii="Arial" w:eastAsia="Times New Roman" w:hAnsi="Arial" w:cs="Arial"/>
          <w:bCs/>
          <w:sz w:val="20"/>
          <w:szCs w:val="20"/>
          <w:lang w:eastAsia="fr-FR"/>
        </w:rPr>
        <w:t>.</w:t>
      </w:r>
    </w:p>
    <w:p w14:paraId="696180DB" w14:textId="77777777" w:rsidR="00A417B1" w:rsidRDefault="005031E0" w:rsidP="001C29C7">
      <w:pPr>
        <w:autoSpaceDE w:val="0"/>
        <w:autoSpaceDN w:val="0"/>
        <w:adjustRightInd w:val="0"/>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L’encours </w:t>
      </w:r>
      <w:r w:rsidR="000F022C">
        <w:rPr>
          <w:rFonts w:ascii="Arial" w:eastAsia="Times New Roman" w:hAnsi="Arial" w:cs="Arial"/>
          <w:bCs/>
          <w:sz w:val="20"/>
          <w:szCs w:val="20"/>
          <w:lang w:eastAsia="fr-FR"/>
        </w:rPr>
        <w:t>comporte</w:t>
      </w:r>
      <w:r w:rsidR="003E4CEE" w:rsidRPr="003411A2">
        <w:rPr>
          <w:rFonts w:ascii="Arial" w:eastAsia="Times New Roman" w:hAnsi="Arial" w:cs="Arial"/>
          <w:bCs/>
          <w:sz w:val="20"/>
          <w:szCs w:val="20"/>
          <w:lang w:eastAsia="fr-FR"/>
        </w:rPr>
        <w:t xml:space="preserve"> </w:t>
      </w:r>
      <w:r w:rsidR="005B7C04" w:rsidRPr="003411A2">
        <w:rPr>
          <w:rFonts w:ascii="Arial" w:eastAsia="Times New Roman" w:hAnsi="Arial" w:cs="Arial"/>
          <w:bCs/>
          <w:sz w:val="20"/>
          <w:szCs w:val="20"/>
          <w:lang w:eastAsia="fr-FR"/>
        </w:rPr>
        <w:t>1</w:t>
      </w:r>
      <w:r w:rsidR="000F022C">
        <w:rPr>
          <w:rFonts w:ascii="Arial" w:eastAsia="Times New Roman" w:hAnsi="Arial" w:cs="Arial"/>
          <w:bCs/>
          <w:sz w:val="20"/>
          <w:szCs w:val="20"/>
          <w:lang w:eastAsia="fr-FR"/>
        </w:rPr>
        <w:t>6</w:t>
      </w:r>
      <w:r w:rsidR="00A22FBF">
        <w:rPr>
          <w:rFonts w:ascii="Arial" w:eastAsia="Times New Roman" w:hAnsi="Arial" w:cs="Arial"/>
          <w:bCs/>
          <w:sz w:val="20"/>
          <w:szCs w:val="20"/>
          <w:lang w:eastAsia="fr-FR"/>
        </w:rPr>
        <w:t xml:space="preserve"> </w:t>
      </w:r>
      <w:r w:rsidR="00665960" w:rsidRPr="003411A2">
        <w:rPr>
          <w:rFonts w:ascii="Arial" w:eastAsia="Times New Roman" w:hAnsi="Arial" w:cs="Arial"/>
          <w:bCs/>
          <w:sz w:val="20"/>
          <w:szCs w:val="20"/>
          <w:lang w:eastAsia="fr-FR"/>
        </w:rPr>
        <w:t>contrats</w:t>
      </w:r>
      <w:r w:rsidR="003E4CEE" w:rsidRPr="003411A2">
        <w:rPr>
          <w:rFonts w:ascii="Arial" w:eastAsia="Times New Roman" w:hAnsi="Arial" w:cs="Arial"/>
          <w:bCs/>
          <w:sz w:val="20"/>
          <w:szCs w:val="20"/>
          <w:lang w:eastAsia="fr-FR"/>
        </w:rPr>
        <w:t xml:space="preserve">, </w:t>
      </w:r>
      <w:r w:rsidR="00665960" w:rsidRPr="003411A2">
        <w:rPr>
          <w:rFonts w:ascii="Arial" w:eastAsia="Times New Roman" w:hAnsi="Arial" w:cs="Arial"/>
          <w:bCs/>
          <w:sz w:val="20"/>
          <w:szCs w:val="20"/>
          <w:lang w:eastAsia="fr-FR"/>
        </w:rPr>
        <w:t>répartis sur 8 prêteurs</w:t>
      </w:r>
      <w:r w:rsidR="00BE739F" w:rsidRPr="003411A2">
        <w:rPr>
          <w:rFonts w:ascii="Arial" w:eastAsia="Times New Roman" w:hAnsi="Arial" w:cs="Arial"/>
          <w:bCs/>
          <w:sz w:val="20"/>
          <w:szCs w:val="20"/>
          <w:lang w:eastAsia="fr-FR"/>
        </w:rPr>
        <w:t xml:space="preserve">, </w:t>
      </w:r>
      <w:r w:rsidR="00EB54E7" w:rsidRPr="003411A2">
        <w:rPr>
          <w:rFonts w:ascii="Arial" w:eastAsia="Times New Roman" w:hAnsi="Arial" w:cs="Arial"/>
          <w:bCs/>
          <w:sz w:val="20"/>
          <w:szCs w:val="20"/>
          <w:lang w:eastAsia="fr-FR"/>
        </w:rPr>
        <w:t>et est composé de 8</w:t>
      </w:r>
      <w:r w:rsidR="000F022C">
        <w:rPr>
          <w:rFonts w:ascii="Arial" w:eastAsia="Times New Roman" w:hAnsi="Arial" w:cs="Arial"/>
          <w:bCs/>
          <w:sz w:val="20"/>
          <w:szCs w:val="20"/>
          <w:lang w:eastAsia="fr-FR"/>
        </w:rPr>
        <w:t>5</w:t>
      </w:r>
      <w:r w:rsidR="00202BE6" w:rsidRPr="003411A2">
        <w:rPr>
          <w:rFonts w:ascii="Arial" w:eastAsia="Times New Roman" w:hAnsi="Arial" w:cs="Arial"/>
          <w:bCs/>
          <w:sz w:val="20"/>
          <w:szCs w:val="20"/>
          <w:lang w:eastAsia="fr-FR"/>
        </w:rPr>
        <w:t>,</w:t>
      </w:r>
      <w:r w:rsidR="000F022C">
        <w:rPr>
          <w:rFonts w:ascii="Arial" w:eastAsia="Times New Roman" w:hAnsi="Arial" w:cs="Arial"/>
          <w:bCs/>
          <w:sz w:val="20"/>
          <w:szCs w:val="20"/>
          <w:lang w:eastAsia="fr-FR"/>
        </w:rPr>
        <w:t xml:space="preserve">45 </w:t>
      </w:r>
      <w:r w:rsidR="00EB54E7" w:rsidRPr="003411A2">
        <w:rPr>
          <w:rFonts w:ascii="Arial" w:eastAsia="Times New Roman" w:hAnsi="Arial" w:cs="Arial"/>
          <w:bCs/>
          <w:sz w:val="20"/>
          <w:szCs w:val="20"/>
          <w:lang w:eastAsia="fr-FR"/>
        </w:rPr>
        <w:t>% de dette à taux fixe et de 1</w:t>
      </w:r>
      <w:r w:rsidR="000F022C">
        <w:rPr>
          <w:rFonts w:ascii="Arial" w:eastAsia="Times New Roman" w:hAnsi="Arial" w:cs="Arial"/>
          <w:bCs/>
          <w:sz w:val="20"/>
          <w:szCs w:val="20"/>
          <w:lang w:eastAsia="fr-FR"/>
        </w:rPr>
        <w:t xml:space="preserve">4,55 </w:t>
      </w:r>
      <w:r w:rsidR="00EB54E7" w:rsidRPr="003411A2">
        <w:rPr>
          <w:rFonts w:ascii="Arial" w:eastAsia="Times New Roman" w:hAnsi="Arial" w:cs="Arial"/>
          <w:bCs/>
          <w:sz w:val="20"/>
          <w:szCs w:val="20"/>
          <w:lang w:eastAsia="fr-FR"/>
        </w:rPr>
        <w:t xml:space="preserve">% de dette à taux </w:t>
      </w:r>
      <w:r w:rsidR="00202BE6" w:rsidRPr="003411A2">
        <w:rPr>
          <w:rFonts w:ascii="Arial" w:eastAsia="Times New Roman" w:hAnsi="Arial" w:cs="Arial"/>
          <w:bCs/>
          <w:sz w:val="20"/>
          <w:szCs w:val="20"/>
          <w:lang w:eastAsia="fr-FR"/>
        </w:rPr>
        <w:t>révisable.</w:t>
      </w:r>
      <w:r w:rsidR="00A417B1">
        <w:rPr>
          <w:rFonts w:ascii="Arial" w:eastAsia="Times New Roman" w:hAnsi="Arial" w:cs="Arial"/>
          <w:bCs/>
          <w:sz w:val="20"/>
          <w:szCs w:val="20"/>
          <w:lang w:eastAsia="fr-FR"/>
        </w:rPr>
        <w:t xml:space="preserve"> La répartition du capital re</w:t>
      </w:r>
      <w:r w:rsidR="00355399">
        <w:rPr>
          <w:rFonts w:ascii="Arial" w:eastAsia="Times New Roman" w:hAnsi="Arial" w:cs="Arial"/>
          <w:bCs/>
          <w:sz w:val="20"/>
          <w:szCs w:val="20"/>
          <w:lang w:eastAsia="fr-FR"/>
        </w:rPr>
        <w:t>stant dû par prêteur au 1/1/2021</w:t>
      </w:r>
      <w:r w:rsidR="00A417B1">
        <w:rPr>
          <w:rFonts w:ascii="Arial" w:eastAsia="Times New Roman" w:hAnsi="Arial" w:cs="Arial"/>
          <w:bCs/>
          <w:sz w:val="20"/>
          <w:szCs w:val="20"/>
          <w:lang w:eastAsia="fr-FR"/>
        </w:rPr>
        <w:t xml:space="preserve"> est la suivante :</w:t>
      </w:r>
    </w:p>
    <w:p w14:paraId="5C993091" w14:textId="77777777" w:rsidR="00514BE3" w:rsidRDefault="00514BE3" w:rsidP="001C29C7">
      <w:pPr>
        <w:autoSpaceDE w:val="0"/>
        <w:autoSpaceDN w:val="0"/>
        <w:adjustRightInd w:val="0"/>
        <w:jc w:val="both"/>
        <w:rPr>
          <w:rFonts w:ascii="Arial" w:eastAsia="Times New Roman" w:hAnsi="Arial" w:cs="Arial"/>
          <w:bCs/>
          <w:sz w:val="20"/>
          <w:szCs w:val="20"/>
          <w:lang w:eastAsia="fr-FR"/>
        </w:rPr>
      </w:pPr>
    </w:p>
    <w:p w14:paraId="7BE910CD" w14:textId="77777777" w:rsidR="00BE739F" w:rsidRDefault="0020262D" w:rsidP="00A417B1">
      <w:pPr>
        <w:autoSpaceDE w:val="0"/>
        <w:autoSpaceDN w:val="0"/>
        <w:adjustRightInd w:val="0"/>
        <w:jc w:val="center"/>
        <w:rPr>
          <w:rFonts w:ascii="Arial" w:eastAsia="Times New Roman" w:hAnsi="Arial" w:cs="Arial"/>
          <w:bCs/>
          <w:sz w:val="20"/>
          <w:szCs w:val="20"/>
          <w:lang w:eastAsia="fr-FR"/>
        </w:rPr>
      </w:pPr>
      <w:r w:rsidRPr="0020262D">
        <w:rPr>
          <w:rFonts w:ascii="Arial" w:eastAsia="Times New Roman" w:hAnsi="Arial" w:cs="Arial"/>
          <w:bCs/>
          <w:noProof/>
          <w:sz w:val="20"/>
          <w:szCs w:val="20"/>
          <w:lang w:eastAsia="fr-FR"/>
        </w:rPr>
        <w:drawing>
          <wp:inline distT="0" distB="0" distL="0" distR="0" wp14:anchorId="4CC6042D" wp14:editId="639B2210">
            <wp:extent cx="5038725" cy="3581400"/>
            <wp:effectExtent l="19050" t="0" r="9525" b="0"/>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736786B" w14:textId="77777777" w:rsidR="00A417B1" w:rsidRPr="00FE5EE8" w:rsidRDefault="00A417B1" w:rsidP="00A417B1">
      <w:pPr>
        <w:autoSpaceDE w:val="0"/>
        <w:autoSpaceDN w:val="0"/>
        <w:adjustRightInd w:val="0"/>
        <w:jc w:val="center"/>
        <w:rPr>
          <w:rFonts w:ascii="Arial" w:eastAsia="Times New Roman" w:hAnsi="Arial" w:cs="Arial"/>
          <w:bCs/>
          <w:sz w:val="20"/>
          <w:szCs w:val="20"/>
          <w:lang w:eastAsia="fr-FR"/>
        </w:rPr>
      </w:pPr>
    </w:p>
    <w:p w14:paraId="3FB662BC" w14:textId="77777777" w:rsidR="009A06B5" w:rsidRDefault="00A466D9" w:rsidP="002A3723">
      <w:pPr>
        <w:autoSpaceDE w:val="0"/>
        <w:autoSpaceDN w:val="0"/>
        <w:adjustRightInd w:val="0"/>
        <w:jc w:val="both"/>
        <w:rPr>
          <w:rFonts w:ascii="Arial" w:eastAsia="Times New Roman" w:hAnsi="Arial" w:cs="Arial"/>
          <w:b/>
          <w:bCs/>
          <w:sz w:val="20"/>
          <w:szCs w:val="20"/>
          <w:lang w:eastAsia="fr-FR"/>
        </w:rPr>
      </w:pPr>
      <w:r w:rsidRPr="00FE5EE8">
        <w:rPr>
          <w:rFonts w:ascii="Arial" w:eastAsia="Times New Roman" w:hAnsi="Arial" w:cs="Arial"/>
          <w:bCs/>
          <w:sz w:val="20"/>
          <w:szCs w:val="20"/>
          <w:lang w:eastAsia="fr-FR"/>
        </w:rPr>
        <w:t xml:space="preserve">La ville dispose d’un encours </w:t>
      </w:r>
      <w:r w:rsidR="003202D3" w:rsidRPr="00FE5EE8">
        <w:rPr>
          <w:rFonts w:ascii="Arial" w:eastAsia="Times New Roman" w:hAnsi="Arial" w:cs="Arial"/>
          <w:bCs/>
          <w:sz w:val="20"/>
          <w:szCs w:val="20"/>
          <w:lang w:eastAsia="fr-FR"/>
        </w:rPr>
        <w:t xml:space="preserve">très </w:t>
      </w:r>
      <w:r w:rsidRPr="00FE5EE8">
        <w:rPr>
          <w:rFonts w:ascii="Arial" w:eastAsia="Times New Roman" w:hAnsi="Arial" w:cs="Arial"/>
          <w:bCs/>
          <w:sz w:val="20"/>
          <w:szCs w:val="20"/>
          <w:lang w:eastAsia="fr-FR"/>
        </w:rPr>
        <w:t xml:space="preserve">peu exposé aux aléas des marchés financiers et 100% de l’encours est classé en </w:t>
      </w:r>
      <w:r w:rsidR="00595087">
        <w:rPr>
          <w:rFonts w:ascii="Arial" w:eastAsia="Times New Roman" w:hAnsi="Arial" w:cs="Arial"/>
          <w:bCs/>
          <w:sz w:val="20"/>
          <w:szCs w:val="20"/>
          <w:lang w:eastAsia="fr-FR"/>
        </w:rPr>
        <w:t xml:space="preserve">catégorie </w:t>
      </w:r>
      <w:r w:rsidRPr="00FE5EE8">
        <w:rPr>
          <w:rFonts w:ascii="Arial" w:eastAsia="Times New Roman" w:hAnsi="Arial" w:cs="Arial"/>
          <w:bCs/>
          <w:sz w:val="20"/>
          <w:szCs w:val="20"/>
          <w:lang w:eastAsia="fr-FR"/>
        </w:rPr>
        <w:t>1A selon les critères de classement de la charte de bonne conduite (</w:t>
      </w:r>
      <w:r w:rsidR="007866CC" w:rsidRPr="00FE5EE8">
        <w:rPr>
          <w:rFonts w:ascii="Arial" w:eastAsia="Times New Roman" w:hAnsi="Arial" w:cs="Arial"/>
          <w:bCs/>
          <w:sz w:val="20"/>
          <w:szCs w:val="20"/>
          <w:lang w:eastAsia="fr-FR"/>
        </w:rPr>
        <w:t xml:space="preserve">Charte </w:t>
      </w:r>
      <w:proofErr w:type="spellStart"/>
      <w:r w:rsidR="007866CC" w:rsidRPr="00FE5EE8">
        <w:rPr>
          <w:rFonts w:ascii="Arial" w:eastAsia="Times New Roman" w:hAnsi="Arial" w:cs="Arial"/>
          <w:bCs/>
          <w:sz w:val="20"/>
          <w:szCs w:val="20"/>
          <w:lang w:eastAsia="fr-FR"/>
        </w:rPr>
        <w:t>Giss</w:t>
      </w:r>
      <w:r w:rsidR="003E4CEE" w:rsidRPr="00FE5EE8">
        <w:rPr>
          <w:rFonts w:ascii="Arial" w:eastAsia="Times New Roman" w:hAnsi="Arial" w:cs="Arial"/>
          <w:bCs/>
          <w:sz w:val="20"/>
          <w:szCs w:val="20"/>
          <w:lang w:eastAsia="fr-FR"/>
        </w:rPr>
        <w:t>ler</w:t>
      </w:r>
      <w:proofErr w:type="spellEnd"/>
      <w:r w:rsidR="007866CC" w:rsidRPr="00FE5EE8">
        <w:rPr>
          <w:rFonts w:ascii="Arial" w:eastAsia="Times New Roman" w:hAnsi="Arial" w:cs="Arial"/>
          <w:bCs/>
          <w:sz w:val="20"/>
          <w:szCs w:val="20"/>
          <w:lang w:eastAsia="fr-FR"/>
        </w:rPr>
        <w:t>).</w:t>
      </w:r>
    </w:p>
    <w:p w14:paraId="52F6932C" w14:textId="77777777" w:rsidR="00377B5F" w:rsidRDefault="00377B5F" w:rsidP="002A3723">
      <w:pPr>
        <w:autoSpaceDE w:val="0"/>
        <w:autoSpaceDN w:val="0"/>
        <w:adjustRightInd w:val="0"/>
        <w:jc w:val="both"/>
        <w:rPr>
          <w:rFonts w:ascii="Arial" w:eastAsia="Times New Roman" w:hAnsi="Arial" w:cs="Arial"/>
          <w:b/>
          <w:bCs/>
          <w:sz w:val="20"/>
          <w:szCs w:val="20"/>
          <w:lang w:eastAsia="fr-FR"/>
        </w:rPr>
      </w:pPr>
    </w:p>
    <w:p w14:paraId="5878E6C2" w14:textId="77777777" w:rsidR="00377B5F" w:rsidRDefault="00377B5F" w:rsidP="002A3723">
      <w:pPr>
        <w:autoSpaceDE w:val="0"/>
        <w:autoSpaceDN w:val="0"/>
        <w:adjustRightInd w:val="0"/>
        <w:jc w:val="both"/>
        <w:rPr>
          <w:rFonts w:ascii="Arial" w:eastAsia="Times New Roman" w:hAnsi="Arial" w:cs="Arial"/>
          <w:b/>
          <w:bCs/>
          <w:sz w:val="20"/>
          <w:szCs w:val="20"/>
          <w:lang w:eastAsia="fr-FR"/>
        </w:rPr>
      </w:pPr>
    </w:p>
    <w:p w14:paraId="31399045" w14:textId="77777777" w:rsidR="00377B5F" w:rsidRDefault="00377B5F" w:rsidP="002A3723">
      <w:pPr>
        <w:autoSpaceDE w:val="0"/>
        <w:autoSpaceDN w:val="0"/>
        <w:adjustRightInd w:val="0"/>
        <w:jc w:val="both"/>
        <w:rPr>
          <w:rFonts w:ascii="Arial" w:eastAsia="Times New Roman" w:hAnsi="Arial" w:cs="Arial"/>
          <w:b/>
          <w:bCs/>
          <w:sz w:val="20"/>
          <w:szCs w:val="20"/>
          <w:lang w:eastAsia="fr-FR"/>
        </w:rPr>
      </w:pPr>
    </w:p>
    <w:p w14:paraId="08608135" w14:textId="77777777" w:rsidR="00377B5F" w:rsidRDefault="00377B5F" w:rsidP="002A3723">
      <w:pPr>
        <w:autoSpaceDE w:val="0"/>
        <w:autoSpaceDN w:val="0"/>
        <w:adjustRightInd w:val="0"/>
        <w:jc w:val="both"/>
        <w:rPr>
          <w:rFonts w:ascii="Arial" w:eastAsia="Times New Roman" w:hAnsi="Arial" w:cs="Arial"/>
          <w:b/>
          <w:bCs/>
          <w:sz w:val="20"/>
          <w:szCs w:val="20"/>
          <w:lang w:eastAsia="fr-FR"/>
        </w:rPr>
      </w:pPr>
    </w:p>
    <w:p w14:paraId="7949956F" w14:textId="77777777" w:rsidR="00377B5F" w:rsidRDefault="00377B5F" w:rsidP="002A3723">
      <w:pPr>
        <w:autoSpaceDE w:val="0"/>
        <w:autoSpaceDN w:val="0"/>
        <w:adjustRightInd w:val="0"/>
        <w:jc w:val="both"/>
        <w:rPr>
          <w:rFonts w:ascii="Arial" w:eastAsia="Times New Roman" w:hAnsi="Arial" w:cs="Arial"/>
          <w:b/>
          <w:bCs/>
          <w:sz w:val="20"/>
          <w:szCs w:val="20"/>
          <w:lang w:eastAsia="fr-FR"/>
        </w:rPr>
      </w:pPr>
    </w:p>
    <w:p w14:paraId="16F6B298" w14:textId="77777777" w:rsidR="00377B5F" w:rsidRDefault="00377B5F" w:rsidP="002A3723">
      <w:pPr>
        <w:autoSpaceDE w:val="0"/>
        <w:autoSpaceDN w:val="0"/>
        <w:adjustRightInd w:val="0"/>
        <w:jc w:val="both"/>
        <w:rPr>
          <w:rFonts w:ascii="Arial" w:eastAsia="Times New Roman" w:hAnsi="Arial" w:cs="Arial"/>
          <w:b/>
          <w:bCs/>
          <w:sz w:val="20"/>
          <w:szCs w:val="20"/>
          <w:lang w:eastAsia="fr-FR"/>
        </w:rPr>
      </w:pPr>
    </w:p>
    <w:p w14:paraId="112E4105" w14:textId="77777777" w:rsidR="00377B5F" w:rsidRDefault="00377B5F" w:rsidP="002A3723">
      <w:pPr>
        <w:autoSpaceDE w:val="0"/>
        <w:autoSpaceDN w:val="0"/>
        <w:adjustRightInd w:val="0"/>
        <w:jc w:val="both"/>
        <w:rPr>
          <w:rFonts w:ascii="Arial" w:eastAsia="Times New Roman" w:hAnsi="Arial" w:cs="Arial"/>
          <w:b/>
          <w:bCs/>
          <w:sz w:val="20"/>
          <w:szCs w:val="20"/>
          <w:lang w:eastAsia="fr-FR"/>
        </w:rPr>
      </w:pPr>
    </w:p>
    <w:p w14:paraId="36812174" w14:textId="77777777" w:rsidR="00377B5F" w:rsidRDefault="00377B5F" w:rsidP="002A3723">
      <w:pPr>
        <w:autoSpaceDE w:val="0"/>
        <w:autoSpaceDN w:val="0"/>
        <w:adjustRightInd w:val="0"/>
        <w:jc w:val="both"/>
        <w:rPr>
          <w:rFonts w:ascii="Arial" w:eastAsia="Times New Roman" w:hAnsi="Arial" w:cs="Arial"/>
          <w:b/>
          <w:bCs/>
          <w:sz w:val="20"/>
          <w:szCs w:val="20"/>
          <w:lang w:eastAsia="fr-FR"/>
        </w:rPr>
      </w:pPr>
    </w:p>
    <w:p w14:paraId="12ED214E" w14:textId="77777777" w:rsidR="00865160" w:rsidRPr="002A3723" w:rsidRDefault="00865160" w:rsidP="002A3723">
      <w:pPr>
        <w:autoSpaceDE w:val="0"/>
        <w:autoSpaceDN w:val="0"/>
        <w:adjustRightInd w:val="0"/>
        <w:jc w:val="both"/>
        <w:rPr>
          <w:rFonts w:ascii="Arial" w:eastAsia="Times New Roman" w:hAnsi="Arial" w:cs="Arial"/>
          <w:bCs/>
          <w:sz w:val="20"/>
          <w:szCs w:val="20"/>
          <w:lang w:eastAsia="fr-FR"/>
        </w:rPr>
      </w:pPr>
      <w:r w:rsidRPr="00FE5EE8">
        <w:rPr>
          <w:rFonts w:ascii="Arial" w:eastAsia="Times New Roman" w:hAnsi="Arial" w:cs="Arial"/>
          <w:b/>
          <w:bCs/>
          <w:sz w:val="20"/>
          <w:szCs w:val="20"/>
          <w:lang w:eastAsia="fr-FR"/>
        </w:rPr>
        <w:lastRenderedPageBreak/>
        <w:t>3.</w:t>
      </w:r>
      <w:r w:rsidR="00572E5E" w:rsidRPr="00FE5EE8">
        <w:rPr>
          <w:rFonts w:ascii="Arial" w:eastAsia="Times New Roman" w:hAnsi="Arial" w:cs="Arial"/>
          <w:b/>
          <w:bCs/>
          <w:sz w:val="20"/>
          <w:szCs w:val="20"/>
          <w:lang w:eastAsia="fr-FR"/>
        </w:rPr>
        <w:t>5</w:t>
      </w:r>
      <w:r w:rsidRPr="00FE5EE8">
        <w:rPr>
          <w:rFonts w:ascii="Arial" w:eastAsia="Times New Roman" w:hAnsi="Arial" w:cs="Arial"/>
          <w:b/>
          <w:bCs/>
          <w:sz w:val="20"/>
          <w:szCs w:val="20"/>
          <w:lang w:eastAsia="fr-FR"/>
        </w:rPr>
        <w:t xml:space="preserve"> – Les grands équilibres budgétaires</w:t>
      </w:r>
    </w:p>
    <w:p w14:paraId="2E236FB9" w14:textId="77777777" w:rsidR="00865160" w:rsidRPr="00FE5EE8" w:rsidRDefault="00865160" w:rsidP="00865160">
      <w:pPr>
        <w:spacing w:before="100" w:beforeAutospacing="1" w:after="100" w:afterAutospacing="1" w:line="240" w:lineRule="auto"/>
        <w:outlineLvl w:val="1"/>
        <w:rPr>
          <w:rFonts w:ascii="Arial" w:eastAsia="Times New Roman" w:hAnsi="Arial" w:cs="Arial"/>
          <w:bCs/>
          <w:sz w:val="20"/>
          <w:szCs w:val="20"/>
          <w:u w:val="single"/>
          <w:lang w:eastAsia="fr-FR"/>
        </w:rPr>
      </w:pPr>
      <w:r w:rsidRPr="00FE5EE8">
        <w:rPr>
          <w:rFonts w:ascii="Arial" w:eastAsia="Times New Roman" w:hAnsi="Arial" w:cs="Arial"/>
          <w:bCs/>
          <w:sz w:val="20"/>
          <w:szCs w:val="20"/>
          <w:u w:val="single"/>
          <w:lang w:eastAsia="fr-FR"/>
        </w:rPr>
        <w:t>Evolution des soldes d’épargne</w:t>
      </w:r>
    </w:p>
    <w:tbl>
      <w:tblPr>
        <w:tblStyle w:val="Grilledutableau"/>
        <w:tblW w:w="0" w:type="auto"/>
        <w:tblLayout w:type="fixed"/>
        <w:tblLook w:val="04A0" w:firstRow="1" w:lastRow="0" w:firstColumn="1" w:lastColumn="0" w:noHBand="0" w:noVBand="1"/>
      </w:tblPr>
      <w:tblGrid>
        <w:gridCol w:w="3402"/>
        <w:gridCol w:w="964"/>
        <w:gridCol w:w="964"/>
        <w:gridCol w:w="964"/>
        <w:gridCol w:w="964"/>
        <w:gridCol w:w="964"/>
        <w:gridCol w:w="964"/>
      </w:tblGrid>
      <w:tr w:rsidR="0059283C" w:rsidRPr="00BA2A78" w14:paraId="303172F1" w14:textId="77777777" w:rsidTr="0059283C">
        <w:tc>
          <w:tcPr>
            <w:tcW w:w="3402" w:type="dxa"/>
            <w:tcBorders>
              <w:top w:val="nil"/>
              <w:left w:val="nil"/>
              <w:bottom w:val="nil"/>
            </w:tcBorders>
          </w:tcPr>
          <w:p w14:paraId="2081E380" w14:textId="77777777" w:rsidR="0059283C" w:rsidRPr="00BA2A78" w:rsidRDefault="0059283C" w:rsidP="00D56E75">
            <w:pPr>
              <w:spacing w:before="60" w:after="60"/>
              <w:jc w:val="center"/>
              <w:outlineLvl w:val="1"/>
              <w:rPr>
                <w:rFonts w:ascii="Arial" w:eastAsia="Times New Roman" w:hAnsi="Arial" w:cs="Arial"/>
                <w:bCs/>
                <w:sz w:val="16"/>
                <w:szCs w:val="16"/>
                <w:lang w:eastAsia="fr-FR"/>
              </w:rPr>
            </w:pPr>
          </w:p>
        </w:tc>
        <w:tc>
          <w:tcPr>
            <w:tcW w:w="1928" w:type="dxa"/>
            <w:gridSpan w:val="2"/>
          </w:tcPr>
          <w:p w14:paraId="3201706E" w14:textId="77777777" w:rsidR="0059283C" w:rsidRPr="00BA2A78" w:rsidRDefault="0059283C" w:rsidP="00D56E75">
            <w:pPr>
              <w:spacing w:before="60" w:after="60"/>
              <w:jc w:val="center"/>
              <w:outlineLvl w:val="1"/>
              <w:rPr>
                <w:rFonts w:ascii="Arial" w:eastAsia="Times New Roman" w:hAnsi="Arial" w:cs="Arial"/>
                <w:bCs/>
                <w:sz w:val="16"/>
                <w:szCs w:val="16"/>
                <w:lang w:eastAsia="fr-FR"/>
              </w:rPr>
            </w:pPr>
            <w:r w:rsidRPr="00BA2A78">
              <w:rPr>
                <w:rFonts w:ascii="Arial" w:eastAsia="Times New Roman" w:hAnsi="Arial" w:cs="Arial"/>
                <w:bCs/>
                <w:sz w:val="16"/>
                <w:szCs w:val="16"/>
                <w:lang w:eastAsia="fr-FR"/>
              </w:rPr>
              <w:t>CA</w:t>
            </w:r>
          </w:p>
        </w:tc>
        <w:tc>
          <w:tcPr>
            <w:tcW w:w="3856" w:type="dxa"/>
            <w:gridSpan w:val="4"/>
          </w:tcPr>
          <w:p w14:paraId="7C42F803" w14:textId="77777777" w:rsidR="0059283C" w:rsidRPr="00BA2A78" w:rsidRDefault="0059283C" w:rsidP="00D56E75">
            <w:pPr>
              <w:spacing w:before="60" w:after="60"/>
              <w:jc w:val="center"/>
              <w:outlineLvl w:val="1"/>
              <w:rPr>
                <w:rFonts w:ascii="Arial" w:eastAsia="Times New Roman" w:hAnsi="Arial" w:cs="Arial"/>
                <w:bCs/>
                <w:sz w:val="16"/>
                <w:szCs w:val="16"/>
                <w:lang w:eastAsia="fr-FR"/>
              </w:rPr>
            </w:pPr>
            <w:r w:rsidRPr="00BA2A78">
              <w:rPr>
                <w:rFonts w:ascii="Arial" w:eastAsia="Times New Roman" w:hAnsi="Arial" w:cs="Arial"/>
                <w:bCs/>
                <w:sz w:val="16"/>
                <w:szCs w:val="16"/>
                <w:lang w:eastAsia="fr-FR"/>
              </w:rPr>
              <w:t>BP</w:t>
            </w:r>
          </w:p>
        </w:tc>
      </w:tr>
      <w:tr w:rsidR="00EB54E7" w:rsidRPr="00BA2A78" w14:paraId="4C626A5D" w14:textId="77777777" w:rsidTr="0059283C">
        <w:tc>
          <w:tcPr>
            <w:tcW w:w="3402" w:type="dxa"/>
            <w:tcBorders>
              <w:top w:val="nil"/>
              <w:left w:val="nil"/>
            </w:tcBorders>
          </w:tcPr>
          <w:p w14:paraId="74135819" w14:textId="77777777" w:rsidR="00EB54E7" w:rsidRPr="00BA2A78" w:rsidRDefault="00A9721C" w:rsidP="00D56E75">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En K€</w:t>
            </w:r>
          </w:p>
        </w:tc>
        <w:tc>
          <w:tcPr>
            <w:tcW w:w="964" w:type="dxa"/>
          </w:tcPr>
          <w:p w14:paraId="25279B0A" w14:textId="77777777" w:rsidR="00EB54E7" w:rsidRPr="00BA2A78" w:rsidRDefault="000E5953" w:rsidP="00D56E75">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201</w:t>
            </w:r>
            <w:r w:rsidR="00FA200F">
              <w:rPr>
                <w:rFonts w:ascii="Arial" w:eastAsia="Times New Roman" w:hAnsi="Arial" w:cs="Arial"/>
                <w:bCs/>
                <w:sz w:val="16"/>
                <w:szCs w:val="16"/>
                <w:lang w:eastAsia="fr-FR"/>
              </w:rPr>
              <w:t>9</w:t>
            </w:r>
          </w:p>
        </w:tc>
        <w:tc>
          <w:tcPr>
            <w:tcW w:w="964" w:type="dxa"/>
          </w:tcPr>
          <w:p w14:paraId="7B738E18" w14:textId="77777777" w:rsidR="00EB54E7" w:rsidRPr="00BA2A78" w:rsidRDefault="00FA200F" w:rsidP="00D56E75">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2020</w:t>
            </w:r>
          </w:p>
        </w:tc>
        <w:tc>
          <w:tcPr>
            <w:tcW w:w="964" w:type="dxa"/>
          </w:tcPr>
          <w:p w14:paraId="1B1F2927" w14:textId="77777777" w:rsidR="00EB54E7" w:rsidRPr="00BA2A78" w:rsidRDefault="000E5953" w:rsidP="00D56E75">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202</w:t>
            </w:r>
            <w:r w:rsidR="00FA200F">
              <w:rPr>
                <w:rFonts w:ascii="Arial" w:eastAsia="Times New Roman" w:hAnsi="Arial" w:cs="Arial"/>
                <w:bCs/>
                <w:sz w:val="16"/>
                <w:szCs w:val="16"/>
                <w:lang w:eastAsia="fr-FR"/>
              </w:rPr>
              <w:t>1</w:t>
            </w:r>
          </w:p>
        </w:tc>
        <w:tc>
          <w:tcPr>
            <w:tcW w:w="964" w:type="dxa"/>
          </w:tcPr>
          <w:p w14:paraId="157A8F84" w14:textId="77777777" w:rsidR="00EB54E7" w:rsidRPr="00BA2A78" w:rsidRDefault="000E5953" w:rsidP="00D56E75">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202</w:t>
            </w:r>
            <w:r w:rsidR="00FA200F">
              <w:rPr>
                <w:rFonts w:ascii="Arial" w:eastAsia="Times New Roman" w:hAnsi="Arial" w:cs="Arial"/>
                <w:bCs/>
                <w:sz w:val="16"/>
                <w:szCs w:val="16"/>
                <w:lang w:eastAsia="fr-FR"/>
              </w:rPr>
              <w:t>2</w:t>
            </w:r>
          </w:p>
        </w:tc>
        <w:tc>
          <w:tcPr>
            <w:tcW w:w="964" w:type="dxa"/>
          </w:tcPr>
          <w:p w14:paraId="19E08655" w14:textId="77777777" w:rsidR="00EB54E7" w:rsidRPr="00BA2A78" w:rsidRDefault="000E5953" w:rsidP="00D56E75">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202</w:t>
            </w:r>
            <w:r w:rsidR="00FA200F">
              <w:rPr>
                <w:rFonts w:ascii="Arial" w:eastAsia="Times New Roman" w:hAnsi="Arial" w:cs="Arial"/>
                <w:bCs/>
                <w:sz w:val="16"/>
                <w:szCs w:val="16"/>
                <w:lang w:eastAsia="fr-FR"/>
              </w:rPr>
              <w:t>3</w:t>
            </w:r>
          </w:p>
        </w:tc>
        <w:tc>
          <w:tcPr>
            <w:tcW w:w="964" w:type="dxa"/>
          </w:tcPr>
          <w:p w14:paraId="558E3A60" w14:textId="77777777" w:rsidR="00EB54E7" w:rsidRPr="00BA2A78" w:rsidRDefault="000E5953" w:rsidP="00D56E75">
            <w:pPr>
              <w:spacing w:before="60" w:after="60"/>
              <w:jc w:val="center"/>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202</w:t>
            </w:r>
            <w:r w:rsidR="00FA200F">
              <w:rPr>
                <w:rFonts w:ascii="Arial" w:eastAsia="Times New Roman" w:hAnsi="Arial" w:cs="Arial"/>
                <w:bCs/>
                <w:sz w:val="16"/>
                <w:szCs w:val="16"/>
                <w:lang w:eastAsia="fr-FR"/>
              </w:rPr>
              <w:t>4</w:t>
            </w:r>
          </w:p>
        </w:tc>
      </w:tr>
      <w:tr w:rsidR="00A9721C" w:rsidRPr="00BA2A78" w14:paraId="0DE4B87E" w14:textId="77777777" w:rsidTr="00C32639">
        <w:tc>
          <w:tcPr>
            <w:tcW w:w="3402" w:type="dxa"/>
          </w:tcPr>
          <w:p w14:paraId="7697446E" w14:textId="77777777" w:rsidR="00A9721C" w:rsidRPr="00BA2A78" w:rsidRDefault="00A9721C" w:rsidP="00D56E75">
            <w:pPr>
              <w:spacing w:before="60" w:after="60"/>
              <w:outlineLvl w:val="1"/>
              <w:rPr>
                <w:rFonts w:ascii="Arial" w:eastAsia="Times New Roman" w:hAnsi="Arial" w:cs="Arial"/>
                <w:bCs/>
                <w:sz w:val="16"/>
                <w:szCs w:val="16"/>
                <w:lang w:eastAsia="fr-FR"/>
              </w:rPr>
            </w:pPr>
            <w:r w:rsidRPr="00BA2A78">
              <w:rPr>
                <w:rFonts w:ascii="Arial" w:eastAsia="Times New Roman" w:hAnsi="Arial" w:cs="Arial"/>
                <w:bCs/>
                <w:sz w:val="16"/>
                <w:szCs w:val="16"/>
                <w:lang w:eastAsia="fr-FR"/>
              </w:rPr>
              <w:t>Recettes de fonctionnement courant</w:t>
            </w:r>
          </w:p>
        </w:tc>
        <w:tc>
          <w:tcPr>
            <w:tcW w:w="964" w:type="dxa"/>
          </w:tcPr>
          <w:p w14:paraId="24291737" w14:textId="77777777" w:rsidR="00A9721C" w:rsidRPr="00BA2A78" w:rsidRDefault="00FA200F" w:rsidP="00A9721C">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45 216</w:t>
            </w:r>
          </w:p>
        </w:tc>
        <w:tc>
          <w:tcPr>
            <w:tcW w:w="964" w:type="dxa"/>
          </w:tcPr>
          <w:p w14:paraId="576C5825" w14:textId="77777777" w:rsidR="00A9721C" w:rsidRPr="00BA2A78"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44 891</w:t>
            </w:r>
          </w:p>
        </w:tc>
        <w:tc>
          <w:tcPr>
            <w:tcW w:w="964" w:type="dxa"/>
          </w:tcPr>
          <w:p w14:paraId="727E6200" w14:textId="77777777" w:rsidR="00A9721C" w:rsidRPr="00BA2A78" w:rsidRDefault="00FA200F" w:rsidP="009576E0">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 xml:space="preserve">44 </w:t>
            </w:r>
            <w:r w:rsidR="009576E0">
              <w:rPr>
                <w:rFonts w:ascii="Arial" w:eastAsia="Times New Roman" w:hAnsi="Arial" w:cs="Arial"/>
                <w:bCs/>
                <w:sz w:val="16"/>
                <w:szCs w:val="16"/>
                <w:lang w:eastAsia="fr-FR"/>
              </w:rPr>
              <w:t>373</w:t>
            </w:r>
          </w:p>
        </w:tc>
        <w:tc>
          <w:tcPr>
            <w:tcW w:w="964" w:type="dxa"/>
          </w:tcPr>
          <w:p w14:paraId="75827CAD" w14:textId="77777777" w:rsidR="00A9721C" w:rsidRPr="00BA2A78"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45 988</w:t>
            </w:r>
          </w:p>
        </w:tc>
        <w:tc>
          <w:tcPr>
            <w:tcW w:w="964" w:type="dxa"/>
          </w:tcPr>
          <w:p w14:paraId="29F60198" w14:textId="77777777" w:rsidR="00A9721C" w:rsidRPr="00BA2A78"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46 340</w:t>
            </w:r>
          </w:p>
        </w:tc>
        <w:tc>
          <w:tcPr>
            <w:tcW w:w="964" w:type="dxa"/>
          </w:tcPr>
          <w:p w14:paraId="5DA7EABA" w14:textId="77777777" w:rsidR="00A9721C" w:rsidRPr="00BA2A78"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46 640</w:t>
            </w:r>
          </w:p>
        </w:tc>
      </w:tr>
      <w:tr w:rsidR="00A9721C" w:rsidRPr="00BA2A78" w14:paraId="3FA5A13C" w14:textId="77777777" w:rsidTr="00C32639">
        <w:tc>
          <w:tcPr>
            <w:tcW w:w="3402" w:type="dxa"/>
          </w:tcPr>
          <w:p w14:paraId="1A8661DD" w14:textId="77777777" w:rsidR="00A9721C" w:rsidRPr="00BA2A78" w:rsidRDefault="00A9721C" w:rsidP="0059283C">
            <w:pPr>
              <w:spacing w:before="60" w:after="60"/>
              <w:outlineLvl w:val="1"/>
              <w:rPr>
                <w:rFonts w:ascii="Arial" w:eastAsia="Times New Roman" w:hAnsi="Arial" w:cs="Arial"/>
                <w:bCs/>
                <w:sz w:val="16"/>
                <w:szCs w:val="16"/>
                <w:lang w:eastAsia="fr-FR"/>
              </w:rPr>
            </w:pPr>
            <w:r w:rsidRPr="00BA2A78">
              <w:rPr>
                <w:rFonts w:ascii="Arial" w:eastAsia="Times New Roman" w:hAnsi="Arial" w:cs="Arial"/>
                <w:bCs/>
                <w:sz w:val="16"/>
                <w:szCs w:val="16"/>
                <w:lang w:eastAsia="fr-FR"/>
              </w:rPr>
              <w:t xml:space="preserve"> - dépenses de fonctionnement courant</w:t>
            </w:r>
          </w:p>
        </w:tc>
        <w:tc>
          <w:tcPr>
            <w:tcW w:w="964" w:type="dxa"/>
          </w:tcPr>
          <w:p w14:paraId="30651595" w14:textId="77777777" w:rsidR="00A9721C" w:rsidRPr="00BA2A78" w:rsidRDefault="00FA200F" w:rsidP="00A9721C">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39 842</w:t>
            </w:r>
          </w:p>
        </w:tc>
        <w:tc>
          <w:tcPr>
            <w:tcW w:w="964" w:type="dxa"/>
          </w:tcPr>
          <w:p w14:paraId="30F9B4BF" w14:textId="77777777" w:rsidR="00A9721C" w:rsidRPr="00BA2A78"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38 819</w:t>
            </w:r>
          </w:p>
        </w:tc>
        <w:tc>
          <w:tcPr>
            <w:tcW w:w="964" w:type="dxa"/>
          </w:tcPr>
          <w:p w14:paraId="7697BF07" w14:textId="77777777" w:rsidR="00A9721C" w:rsidRPr="00BA2A78"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42 233</w:t>
            </w:r>
          </w:p>
        </w:tc>
        <w:tc>
          <w:tcPr>
            <w:tcW w:w="964" w:type="dxa"/>
          </w:tcPr>
          <w:p w14:paraId="36885FDD" w14:textId="77777777" w:rsidR="00A9721C" w:rsidRPr="00A8724C"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43 089</w:t>
            </w:r>
          </w:p>
        </w:tc>
        <w:tc>
          <w:tcPr>
            <w:tcW w:w="964" w:type="dxa"/>
          </w:tcPr>
          <w:p w14:paraId="28D25F8D" w14:textId="77777777" w:rsidR="00A9721C" w:rsidRPr="00A8724C"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43 878</w:t>
            </w:r>
          </w:p>
        </w:tc>
        <w:tc>
          <w:tcPr>
            <w:tcW w:w="964" w:type="dxa"/>
          </w:tcPr>
          <w:p w14:paraId="29A87BE4" w14:textId="77777777" w:rsidR="00A9721C" w:rsidRPr="00A8724C"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44 429</w:t>
            </w:r>
          </w:p>
        </w:tc>
      </w:tr>
      <w:tr w:rsidR="00A9721C" w:rsidRPr="00BA2A78" w14:paraId="0A5388E8" w14:textId="77777777" w:rsidTr="00C32639">
        <w:tc>
          <w:tcPr>
            <w:tcW w:w="3402" w:type="dxa"/>
          </w:tcPr>
          <w:p w14:paraId="5027589B" w14:textId="77777777" w:rsidR="00A9721C" w:rsidRPr="00BA2A78" w:rsidRDefault="00A9721C" w:rsidP="00D56E75">
            <w:pPr>
              <w:spacing w:before="60" w:after="60"/>
              <w:outlineLvl w:val="1"/>
              <w:rPr>
                <w:rFonts w:ascii="Arial" w:eastAsia="Times New Roman" w:hAnsi="Arial" w:cs="Arial"/>
                <w:bCs/>
                <w:sz w:val="16"/>
                <w:szCs w:val="16"/>
                <w:lang w:eastAsia="fr-FR"/>
              </w:rPr>
            </w:pPr>
            <w:r w:rsidRPr="00BA2A78">
              <w:rPr>
                <w:rFonts w:ascii="Arial" w:eastAsia="Times New Roman" w:hAnsi="Arial" w:cs="Arial"/>
                <w:bCs/>
                <w:sz w:val="16"/>
                <w:szCs w:val="16"/>
                <w:lang w:eastAsia="fr-FR"/>
              </w:rPr>
              <w:t>= Excédent brut courant</w:t>
            </w:r>
          </w:p>
        </w:tc>
        <w:tc>
          <w:tcPr>
            <w:tcW w:w="964" w:type="dxa"/>
          </w:tcPr>
          <w:p w14:paraId="107F1C09" w14:textId="77777777" w:rsidR="00A9721C" w:rsidRPr="00BA2A78" w:rsidRDefault="00FA200F" w:rsidP="00A9721C">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5 374</w:t>
            </w:r>
          </w:p>
        </w:tc>
        <w:tc>
          <w:tcPr>
            <w:tcW w:w="964" w:type="dxa"/>
          </w:tcPr>
          <w:p w14:paraId="7763440E" w14:textId="77777777" w:rsidR="00A9721C" w:rsidRPr="00BA2A78"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6 072</w:t>
            </w:r>
          </w:p>
        </w:tc>
        <w:tc>
          <w:tcPr>
            <w:tcW w:w="964" w:type="dxa"/>
          </w:tcPr>
          <w:p w14:paraId="3636D588" w14:textId="77777777" w:rsidR="00A9721C" w:rsidRPr="00BA2A78"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2 140</w:t>
            </w:r>
          </w:p>
        </w:tc>
        <w:tc>
          <w:tcPr>
            <w:tcW w:w="964" w:type="dxa"/>
          </w:tcPr>
          <w:p w14:paraId="70AA9367" w14:textId="77777777" w:rsidR="00A9721C" w:rsidRPr="00A8724C"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2 899</w:t>
            </w:r>
          </w:p>
        </w:tc>
        <w:tc>
          <w:tcPr>
            <w:tcW w:w="964" w:type="dxa"/>
          </w:tcPr>
          <w:p w14:paraId="5AE5BDD1" w14:textId="77777777" w:rsidR="00A9721C" w:rsidRPr="00A8724C"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2 462</w:t>
            </w:r>
          </w:p>
        </w:tc>
        <w:tc>
          <w:tcPr>
            <w:tcW w:w="964" w:type="dxa"/>
          </w:tcPr>
          <w:p w14:paraId="3AAFEE3E" w14:textId="77777777" w:rsidR="00A9721C" w:rsidRPr="00A8724C"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2 211</w:t>
            </w:r>
          </w:p>
        </w:tc>
      </w:tr>
      <w:tr w:rsidR="00A9721C" w:rsidRPr="00BA2A78" w14:paraId="3E438A2A" w14:textId="77777777" w:rsidTr="00C32639">
        <w:tc>
          <w:tcPr>
            <w:tcW w:w="3402" w:type="dxa"/>
          </w:tcPr>
          <w:p w14:paraId="41B7F197" w14:textId="77777777" w:rsidR="00A9721C" w:rsidRPr="00BA2A78" w:rsidRDefault="00A9721C" w:rsidP="00D56E75">
            <w:pPr>
              <w:spacing w:before="60" w:after="60"/>
              <w:outlineLvl w:val="1"/>
              <w:rPr>
                <w:rFonts w:ascii="Arial" w:eastAsia="Times New Roman" w:hAnsi="Arial" w:cs="Arial"/>
                <w:bCs/>
                <w:sz w:val="16"/>
                <w:szCs w:val="16"/>
                <w:lang w:eastAsia="fr-FR"/>
              </w:rPr>
            </w:pPr>
            <w:r w:rsidRPr="00BA2A78">
              <w:rPr>
                <w:rFonts w:ascii="Arial" w:eastAsia="Times New Roman" w:hAnsi="Arial" w:cs="Arial"/>
                <w:bCs/>
                <w:sz w:val="16"/>
                <w:szCs w:val="16"/>
                <w:lang w:eastAsia="fr-FR"/>
              </w:rPr>
              <w:t>+ produits exceptionnels larges</w:t>
            </w:r>
          </w:p>
        </w:tc>
        <w:tc>
          <w:tcPr>
            <w:tcW w:w="964" w:type="dxa"/>
          </w:tcPr>
          <w:p w14:paraId="48BC085E" w14:textId="77777777" w:rsidR="00A9721C" w:rsidRPr="00BA2A78" w:rsidRDefault="00FA200F" w:rsidP="00A9721C">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63</w:t>
            </w:r>
          </w:p>
        </w:tc>
        <w:tc>
          <w:tcPr>
            <w:tcW w:w="964" w:type="dxa"/>
          </w:tcPr>
          <w:p w14:paraId="7099E82B" w14:textId="77777777" w:rsidR="00A9721C" w:rsidRPr="00BA2A78"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8</w:t>
            </w:r>
          </w:p>
        </w:tc>
        <w:tc>
          <w:tcPr>
            <w:tcW w:w="964" w:type="dxa"/>
          </w:tcPr>
          <w:p w14:paraId="5B6CBAA5" w14:textId="77777777" w:rsidR="00A9721C" w:rsidRPr="00BA2A78"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w:t>
            </w:r>
          </w:p>
        </w:tc>
        <w:tc>
          <w:tcPr>
            <w:tcW w:w="964" w:type="dxa"/>
          </w:tcPr>
          <w:p w14:paraId="7541440C" w14:textId="77777777" w:rsidR="00A9721C" w:rsidRPr="00A8724C"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0</w:t>
            </w:r>
          </w:p>
        </w:tc>
        <w:tc>
          <w:tcPr>
            <w:tcW w:w="964" w:type="dxa"/>
          </w:tcPr>
          <w:p w14:paraId="63DC8714" w14:textId="77777777" w:rsidR="00A9721C" w:rsidRPr="00A8724C"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0</w:t>
            </w:r>
          </w:p>
        </w:tc>
        <w:tc>
          <w:tcPr>
            <w:tcW w:w="964" w:type="dxa"/>
          </w:tcPr>
          <w:p w14:paraId="1E36FAE3" w14:textId="77777777" w:rsidR="00A9721C" w:rsidRPr="00A8724C"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0</w:t>
            </w:r>
          </w:p>
        </w:tc>
      </w:tr>
      <w:tr w:rsidR="00A9721C" w:rsidRPr="00BA2A78" w14:paraId="7903B550" w14:textId="77777777" w:rsidTr="00C32639">
        <w:tc>
          <w:tcPr>
            <w:tcW w:w="3402" w:type="dxa"/>
          </w:tcPr>
          <w:p w14:paraId="401853D6" w14:textId="77777777" w:rsidR="00A9721C" w:rsidRPr="00BA2A78" w:rsidRDefault="00A9721C" w:rsidP="00486D01">
            <w:pPr>
              <w:spacing w:before="60" w:after="60"/>
              <w:outlineLvl w:val="1"/>
              <w:rPr>
                <w:rFonts w:ascii="Arial" w:eastAsia="Times New Roman" w:hAnsi="Arial" w:cs="Arial"/>
                <w:bCs/>
                <w:sz w:val="16"/>
                <w:szCs w:val="16"/>
                <w:lang w:eastAsia="fr-FR"/>
              </w:rPr>
            </w:pPr>
            <w:r w:rsidRPr="00BA2A78">
              <w:rPr>
                <w:rFonts w:ascii="Arial" w:eastAsia="Times New Roman" w:hAnsi="Arial" w:cs="Arial"/>
                <w:bCs/>
                <w:sz w:val="16"/>
                <w:szCs w:val="16"/>
                <w:lang w:eastAsia="fr-FR"/>
              </w:rPr>
              <w:t>- charges exceptionnelles larges</w:t>
            </w:r>
          </w:p>
        </w:tc>
        <w:tc>
          <w:tcPr>
            <w:tcW w:w="964" w:type="dxa"/>
          </w:tcPr>
          <w:p w14:paraId="005505C6" w14:textId="77777777" w:rsidR="00A9721C" w:rsidRPr="00BA2A78" w:rsidRDefault="00FA200F" w:rsidP="00A9721C">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146</w:t>
            </w:r>
          </w:p>
        </w:tc>
        <w:tc>
          <w:tcPr>
            <w:tcW w:w="964" w:type="dxa"/>
          </w:tcPr>
          <w:p w14:paraId="58CB25EA" w14:textId="77777777" w:rsidR="00A9721C" w:rsidRPr="00BA2A78"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w:t>
            </w:r>
          </w:p>
        </w:tc>
        <w:tc>
          <w:tcPr>
            <w:tcW w:w="964" w:type="dxa"/>
          </w:tcPr>
          <w:p w14:paraId="047A6990" w14:textId="77777777" w:rsidR="00A9721C" w:rsidRPr="00BA2A78" w:rsidRDefault="00FA200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202</w:t>
            </w:r>
          </w:p>
        </w:tc>
        <w:tc>
          <w:tcPr>
            <w:tcW w:w="964" w:type="dxa"/>
          </w:tcPr>
          <w:p w14:paraId="67307C39" w14:textId="77777777" w:rsidR="00A9721C" w:rsidRPr="00A8724C"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26</w:t>
            </w:r>
          </w:p>
        </w:tc>
        <w:tc>
          <w:tcPr>
            <w:tcW w:w="964" w:type="dxa"/>
          </w:tcPr>
          <w:p w14:paraId="4A1A786A" w14:textId="77777777" w:rsidR="00A9721C" w:rsidRPr="00A8724C"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50</w:t>
            </w:r>
          </w:p>
        </w:tc>
        <w:tc>
          <w:tcPr>
            <w:tcW w:w="964" w:type="dxa"/>
          </w:tcPr>
          <w:p w14:paraId="748A4EF3" w14:textId="77777777" w:rsidR="00A9721C" w:rsidRPr="00A8724C"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50</w:t>
            </w:r>
          </w:p>
        </w:tc>
      </w:tr>
      <w:tr w:rsidR="00A9721C" w:rsidRPr="00BA2A78" w14:paraId="7741F2D7" w14:textId="77777777" w:rsidTr="00C32639">
        <w:tc>
          <w:tcPr>
            <w:tcW w:w="3402" w:type="dxa"/>
          </w:tcPr>
          <w:p w14:paraId="1E4FB3C7" w14:textId="77777777" w:rsidR="00A9721C" w:rsidRPr="00BA2A78" w:rsidRDefault="00A9721C" w:rsidP="00D56E75">
            <w:pPr>
              <w:spacing w:before="60" w:after="60"/>
              <w:outlineLvl w:val="1"/>
              <w:rPr>
                <w:rFonts w:ascii="Arial" w:eastAsia="Times New Roman" w:hAnsi="Arial" w:cs="Arial"/>
                <w:bCs/>
                <w:sz w:val="16"/>
                <w:szCs w:val="16"/>
                <w:lang w:eastAsia="fr-FR"/>
              </w:rPr>
            </w:pPr>
            <w:r w:rsidRPr="00BA2A78">
              <w:rPr>
                <w:rFonts w:ascii="Arial" w:eastAsia="Times New Roman" w:hAnsi="Arial" w:cs="Arial"/>
                <w:bCs/>
                <w:sz w:val="16"/>
                <w:szCs w:val="16"/>
                <w:lang w:eastAsia="fr-FR"/>
              </w:rPr>
              <w:t>= Epargne de gestion</w:t>
            </w:r>
          </w:p>
        </w:tc>
        <w:tc>
          <w:tcPr>
            <w:tcW w:w="964" w:type="dxa"/>
          </w:tcPr>
          <w:p w14:paraId="72B09A8E" w14:textId="77777777" w:rsidR="00A9721C" w:rsidRPr="00BA2A78" w:rsidRDefault="00FA200F" w:rsidP="00A9721C">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5 291</w:t>
            </w:r>
          </w:p>
        </w:tc>
        <w:tc>
          <w:tcPr>
            <w:tcW w:w="964" w:type="dxa"/>
          </w:tcPr>
          <w:p w14:paraId="7C261B70" w14:textId="77777777" w:rsidR="00A9721C" w:rsidRPr="00BA2A78"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6 073</w:t>
            </w:r>
          </w:p>
        </w:tc>
        <w:tc>
          <w:tcPr>
            <w:tcW w:w="964" w:type="dxa"/>
          </w:tcPr>
          <w:p w14:paraId="5CF7A094" w14:textId="77777777" w:rsidR="00A9721C" w:rsidRPr="00BA2A78"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1 939</w:t>
            </w:r>
          </w:p>
        </w:tc>
        <w:tc>
          <w:tcPr>
            <w:tcW w:w="964" w:type="dxa"/>
          </w:tcPr>
          <w:p w14:paraId="22D84893" w14:textId="77777777" w:rsidR="00A9721C" w:rsidRPr="00A8724C"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2 873</w:t>
            </w:r>
          </w:p>
        </w:tc>
        <w:tc>
          <w:tcPr>
            <w:tcW w:w="964" w:type="dxa"/>
          </w:tcPr>
          <w:p w14:paraId="5E64FE13" w14:textId="77777777" w:rsidR="00A9721C" w:rsidRPr="00A8724C"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2 412</w:t>
            </w:r>
          </w:p>
        </w:tc>
        <w:tc>
          <w:tcPr>
            <w:tcW w:w="964" w:type="dxa"/>
          </w:tcPr>
          <w:p w14:paraId="63741477" w14:textId="77777777" w:rsidR="00A9721C" w:rsidRPr="00A8724C"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2 161</w:t>
            </w:r>
          </w:p>
        </w:tc>
      </w:tr>
      <w:tr w:rsidR="00A9721C" w:rsidRPr="00BA2A78" w14:paraId="74DBE181" w14:textId="77777777" w:rsidTr="00C32639">
        <w:tc>
          <w:tcPr>
            <w:tcW w:w="3402" w:type="dxa"/>
          </w:tcPr>
          <w:p w14:paraId="380E2B9A" w14:textId="77777777" w:rsidR="00A9721C" w:rsidRPr="00BA2A78" w:rsidRDefault="00A9721C" w:rsidP="00D56E75">
            <w:pPr>
              <w:spacing w:before="60" w:after="60"/>
              <w:outlineLvl w:val="1"/>
              <w:rPr>
                <w:rFonts w:ascii="Arial" w:eastAsia="Times New Roman" w:hAnsi="Arial" w:cs="Arial"/>
                <w:bCs/>
                <w:sz w:val="16"/>
                <w:szCs w:val="16"/>
                <w:lang w:eastAsia="fr-FR"/>
              </w:rPr>
            </w:pPr>
            <w:r w:rsidRPr="00BA2A78">
              <w:rPr>
                <w:rFonts w:ascii="Arial" w:eastAsia="Times New Roman" w:hAnsi="Arial" w:cs="Arial"/>
                <w:bCs/>
                <w:sz w:val="16"/>
                <w:szCs w:val="16"/>
                <w:lang w:eastAsia="fr-FR"/>
              </w:rPr>
              <w:t>- Intérêts de la dette</w:t>
            </w:r>
          </w:p>
        </w:tc>
        <w:tc>
          <w:tcPr>
            <w:tcW w:w="964" w:type="dxa"/>
          </w:tcPr>
          <w:p w14:paraId="12AB726A" w14:textId="77777777" w:rsidR="00A9721C" w:rsidRPr="00BA2A78" w:rsidRDefault="00FA200F" w:rsidP="00A9721C">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655</w:t>
            </w:r>
          </w:p>
        </w:tc>
        <w:tc>
          <w:tcPr>
            <w:tcW w:w="964" w:type="dxa"/>
          </w:tcPr>
          <w:p w14:paraId="5650FA37" w14:textId="77777777" w:rsidR="00A9721C" w:rsidRPr="00BA2A78" w:rsidRDefault="00C4298C"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w:t>
            </w:r>
            <w:r w:rsidR="009576E0">
              <w:rPr>
                <w:rFonts w:ascii="Arial" w:eastAsia="Times New Roman" w:hAnsi="Arial" w:cs="Arial"/>
                <w:bCs/>
                <w:sz w:val="16"/>
                <w:szCs w:val="16"/>
                <w:lang w:eastAsia="fr-FR"/>
              </w:rPr>
              <w:t>28</w:t>
            </w:r>
          </w:p>
        </w:tc>
        <w:tc>
          <w:tcPr>
            <w:tcW w:w="964" w:type="dxa"/>
          </w:tcPr>
          <w:p w14:paraId="7B9BE22C" w14:textId="77777777" w:rsidR="00A9721C" w:rsidRPr="00BA2A78" w:rsidRDefault="00FA200F"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60</w:t>
            </w:r>
            <w:r w:rsidR="009576E0">
              <w:rPr>
                <w:rFonts w:ascii="Arial" w:eastAsia="Times New Roman" w:hAnsi="Arial" w:cs="Arial"/>
                <w:bCs/>
                <w:sz w:val="16"/>
                <w:szCs w:val="16"/>
                <w:lang w:eastAsia="fr-FR"/>
              </w:rPr>
              <w:t>6</w:t>
            </w:r>
          </w:p>
        </w:tc>
        <w:tc>
          <w:tcPr>
            <w:tcW w:w="964" w:type="dxa"/>
          </w:tcPr>
          <w:p w14:paraId="2640BC27" w14:textId="77777777" w:rsidR="00A9721C" w:rsidRPr="00A8724C"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516</w:t>
            </w:r>
          </w:p>
        </w:tc>
        <w:tc>
          <w:tcPr>
            <w:tcW w:w="964" w:type="dxa"/>
          </w:tcPr>
          <w:p w14:paraId="1C7EFBE9" w14:textId="77777777" w:rsidR="00A9721C" w:rsidRPr="00A8724C"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465</w:t>
            </w:r>
          </w:p>
        </w:tc>
        <w:tc>
          <w:tcPr>
            <w:tcW w:w="964" w:type="dxa"/>
          </w:tcPr>
          <w:p w14:paraId="4E92E805" w14:textId="77777777" w:rsidR="00A9721C" w:rsidRPr="00A8724C"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416</w:t>
            </w:r>
          </w:p>
        </w:tc>
      </w:tr>
      <w:tr w:rsidR="00A9721C" w:rsidRPr="00BA2A78" w14:paraId="0D6A835C" w14:textId="77777777" w:rsidTr="00C32639">
        <w:tc>
          <w:tcPr>
            <w:tcW w:w="3402" w:type="dxa"/>
          </w:tcPr>
          <w:p w14:paraId="3266FBF7" w14:textId="77777777" w:rsidR="00A9721C" w:rsidRPr="00BA2A78" w:rsidRDefault="00A9721C" w:rsidP="00D56E75">
            <w:pPr>
              <w:spacing w:before="60" w:after="60"/>
              <w:outlineLvl w:val="1"/>
              <w:rPr>
                <w:rFonts w:ascii="Arial" w:eastAsia="Times New Roman" w:hAnsi="Arial" w:cs="Arial"/>
                <w:bCs/>
                <w:sz w:val="16"/>
                <w:szCs w:val="16"/>
                <w:lang w:eastAsia="fr-FR"/>
              </w:rPr>
            </w:pPr>
            <w:r w:rsidRPr="00BA2A78">
              <w:rPr>
                <w:rFonts w:ascii="Arial" w:eastAsia="Times New Roman" w:hAnsi="Arial" w:cs="Arial"/>
                <w:bCs/>
                <w:sz w:val="16"/>
                <w:szCs w:val="16"/>
                <w:lang w:eastAsia="fr-FR"/>
              </w:rPr>
              <w:t>= Epargne brute</w:t>
            </w:r>
          </w:p>
        </w:tc>
        <w:tc>
          <w:tcPr>
            <w:tcW w:w="964" w:type="dxa"/>
          </w:tcPr>
          <w:p w14:paraId="33DCEE00" w14:textId="77777777" w:rsidR="00A9721C" w:rsidRPr="00BA2A78" w:rsidRDefault="00FA200F" w:rsidP="00A9721C">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4 636</w:t>
            </w:r>
          </w:p>
        </w:tc>
        <w:tc>
          <w:tcPr>
            <w:tcW w:w="964" w:type="dxa"/>
          </w:tcPr>
          <w:p w14:paraId="3DA3437A" w14:textId="77777777" w:rsidR="00A9721C" w:rsidRPr="00BA2A78"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5 445</w:t>
            </w:r>
          </w:p>
        </w:tc>
        <w:tc>
          <w:tcPr>
            <w:tcW w:w="964" w:type="dxa"/>
          </w:tcPr>
          <w:p w14:paraId="3B60721E" w14:textId="77777777" w:rsidR="00A9721C" w:rsidRPr="00BA2A78"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1 333</w:t>
            </w:r>
          </w:p>
        </w:tc>
        <w:tc>
          <w:tcPr>
            <w:tcW w:w="964" w:type="dxa"/>
          </w:tcPr>
          <w:p w14:paraId="7E06B7B8" w14:textId="77777777" w:rsidR="00A9721C" w:rsidRPr="00A8724C"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2 357</w:t>
            </w:r>
          </w:p>
        </w:tc>
        <w:tc>
          <w:tcPr>
            <w:tcW w:w="964" w:type="dxa"/>
          </w:tcPr>
          <w:p w14:paraId="62C31157" w14:textId="77777777" w:rsidR="00A9721C" w:rsidRPr="00A8724C"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1 947</w:t>
            </w:r>
          </w:p>
        </w:tc>
        <w:tc>
          <w:tcPr>
            <w:tcW w:w="964" w:type="dxa"/>
          </w:tcPr>
          <w:p w14:paraId="707D2E6A" w14:textId="77777777" w:rsidR="00A9721C" w:rsidRPr="00A8724C"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1 745</w:t>
            </w:r>
          </w:p>
        </w:tc>
      </w:tr>
      <w:tr w:rsidR="00A9721C" w:rsidRPr="00BA2A78" w14:paraId="66E7E459" w14:textId="77777777" w:rsidTr="00C32639">
        <w:tc>
          <w:tcPr>
            <w:tcW w:w="3402" w:type="dxa"/>
          </w:tcPr>
          <w:p w14:paraId="4A3E14CC" w14:textId="77777777" w:rsidR="00A9721C" w:rsidRPr="00BA2A78" w:rsidRDefault="00A9721C" w:rsidP="00D56E75">
            <w:pPr>
              <w:spacing w:before="60" w:after="60"/>
              <w:outlineLvl w:val="1"/>
              <w:rPr>
                <w:rFonts w:ascii="Arial" w:eastAsia="Times New Roman" w:hAnsi="Arial" w:cs="Arial"/>
                <w:bCs/>
                <w:sz w:val="16"/>
                <w:szCs w:val="16"/>
                <w:lang w:eastAsia="fr-FR"/>
              </w:rPr>
            </w:pPr>
            <w:r w:rsidRPr="00BA2A78">
              <w:rPr>
                <w:rFonts w:ascii="Arial" w:eastAsia="Times New Roman" w:hAnsi="Arial" w:cs="Arial"/>
                <w:bCs/>
                <w:sz w:val="16"/>
                <w:szCs w:val="16"/>
                <w:lang w:eastAsia="fr-FR"/>
              </w:rPr>
              <w:t>- Remboursement en capital de la dette</w:t>
            </w:r>
          </w:p>
        </w:tc>
        <w:tc>
          <w:tcPr>
            <w:tcW w:w="964" w:type="dxa"/>
          </w:tcPr>
          <w:p w14:paraId="4AB0AEAD" w14:textId="77777777" w:rsidR="00A9721C" w:rsidRPr="00BA2A78" w:rsidRDefault="000345C7" w:rsidP="00A9721C">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3 38</w:t>
            </w:r>
            <w:r w:rsidR="00FA200F">
              <w:rPr>
                <w:rFonts w:ascii="Arial" w:eastAsia="Times New Roman" w:hAnsi="Arial" w:cs="Arial"/>
                <w:bCs/>
                <w:sz w:val="16"/>
                <w:szCs w:val="16"/>
                <w:lang w:eastAsia="fr-FR"/>
              </w:rPr>
              <w:t>4</w:t>
            </w:r>
          </w:p>
        </w:tc>
        <w:tc>
          <w:tcPr>
            <w:tcW w:w="964" w:type="dxa"/>
          </w:tcPr>
          <w:p w14:paraId="7729F125" w14:textId="77777777" w:rsidR="00A9721C" w:rsidRPr="00BA2A78"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2 910</w:t>
            </w:r>
          </w:p>
        </w:tc>
        <w:tc>
          <w:tcPr>
            <w:tcW w:w="964" w:type="dxa"/>
          </w:tcPr>
          <w:p w14:paraId="1F151187" w14:textId="77777777" w:rsidR="00A9721C" w:rsidRPr="00BA2A78" w:rsidRDefault="00795AB9"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3 070</w:t>
            </w:r>
          </w:p>
        </w:tc>
        <w:tc>
          <w:tcPr>
            <w:tcW w:w="964" w:type="dxa"/>
          </w:tcPr>
          <w:p w14:paraId="064E2FE7" w14:textId="77777777" w:rsidR="00A9721C" w:rsidRPr="00A8724C"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3 190</w:t>
            </w:r>
          </w:p>
        </w:tc>
        <w:tc>
          <w:tcPr>
            <w:tcW w:w="964" w:type="dxa"/>
          </w:tcPr>
          <w:p w14:paraId="00906BD1" w14:textId="77777777" w:rsidR="00A9721C" w:rsidRPr="00A8724C"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3 305</w:t>
            </w:r>
          </w:p>
        </w:tc>
        <w:tc>
          <w:tcPr>
            <w:tcW w:w="964" w:type="dxa"/>
          </w:tcPr>
          <w:p w14:paraId="3F84DB8F" w14:textId="77777777" w:rsidR="00A9721C" w:rsidRPr="00A8724C"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3 588</w:t>
            </w:r>
          </w:p>
        </w:tc>
      </w:tr>
      <w:tr w:rsidR="00A9721C" w:rsidRPr="00BA2A78" w14:paraId="089BCAD9" w14:textId="77777777" w:rsidTr="00C32639">
        <w:tc>
          <w:tcPr>
            <w:tcW w:w="3402" w:type="dxa"/>
          </w:tcPr>
          <w:p w14:paraId="6930291C" w14:textId="77777777" w:rsidR="00A9721C" w:rsidRPr="00BA2A78" w:rsidRDefault="00A9721C" w:rsidP="00D56E75">
            <w:pPr>
              <w:spacing w:before="60" w:after="60"/>
              <w:outlineLvl w:val="1"/>
              <w:rPr>
                <w:rFonts w:ascii="Arial" w:eastAsia="Times New Roman" w:hAnsi="Arial" w:cs="Arial"/>
                <w:bCs/>
                <w:sz w:val="16"/>
                <w:szCs w:val="16"/>
                <w:lang w:eastAsia="fr-FR"/>
              </w:rPr>
            </w:pPr>
            <w:r w:rsidRPr="00BA2A78">
              <w:rPr>
                <w:rFonts w:ascii="Arial" w:eastAsia="Times New Roman" w:hAnsi="Arial" w:cs="Arial"/>
                <w:bCs/>
                <w:sz w:val="16"/>
                <w:szCs w:val="16"/>
                <w:lang w:eastAsia="fr-FR"/>
              </w:rPr>
              <w:t>= Epargne nette</w:t>
            </w:r>
          </w:p>
        </w:tc>
        <w:tc>
          <w:tcPr>
            <w:tcW w:w="964" w:type="dxa"/>
          </w:tcPr>
          <w:p w14:paraId="77A5FDE5" w14:textId="77777777" w:rsidR="00A9721C" w:rsidRPr="00BA2A78" w:rsidRDefault="00FA200F" w:rsidP="00A9721C">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1 252</w:t>
            </w:r>
          </w:p>
        </w:tc>
        <w:tc>
          <w:tcPr>
            <w:tcW w:w="964" w:type="dxa"/>
          </w:tcPr>
          <w:p w14:paraId="360A3B85" w14:textId="77777777" w:rsidR="00A9721C" w:rsidRPr="00BA2A78"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2 535</w:t>
            </w:r>
          </w:p>
        </w:tc>
        <w:tc>
          <w:tcPr>
            <w:tcW w:w="964" w:type="dxa"/>
          </w:tcPr>
          <w:p w14:paraId="419A2493" w14:textId="77777777" w:rsidR="00A9721C" w:rsidRPr="00BA2A78" w:rsidRDefault="00A9721C" w:rsidP="00795AB9">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w:t>
            </w:r>
            <w:r w:rsidR="009576E0">
              <w:rPr>
                <w:rFonts w:ascii="Arial" w:eastAsia="Times New Roman" w:hAnsi="Arial" w:cs="Arial"/>
                <w:bCs/>
                <w:sz w:val="16"/>
                <w:szCs w:val="16"/>
                <w:lang w:eastAsia="fr-FR"/>
              </w:rPr>
              <w:t xml:space="preserve">1 </w:t>
            </w:r>
            <w:r w:rsidR="00795AB9">
              <w:rPr>
                <w:rFonts w:ascii="Arial" w:eastAsia="Times New Roman" w:hAnsi="Arial" w:cs="Arial"/>
                <w:bCs/>
                <w:sz w:val="16"/>
                <w:szCs w:val="16"/>
                <w:lang w:eastAsia="fr-FR"/>
              </w:rPr>
              <w:t>737</w:t>
            </w:r>
          </w:p>
        </w:tc>
        <w:tc>
          <w:tcPr>
            <w:tcW w:w="964" w:type="dxa"/>
          </w:tcPr>
          <w:p w14:paraId="5179EB46" w14:textId="77777777" w:rsidR="00A9721C" w:rsidRPr="00A8724C" w:rsidRDefault="009576E0" w:rsidP="00FA200F">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-833</w:t>
            </w:r>
          </w:p>
        </w:tc>
        <w:tc>
          <w:tcPr>
            <w:tcW w:w="964" w:type="dxa"/>
          </w:tcPr>
          <w:p w14:paraId="4D43CE65" w14:textId="77777777" w:rsidR="00A9721C" w:rsidRPr="00A8724C"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-1 358</w:t>
            </w:r>
          </w:p>
        </w:tc>
        <w:tc>
          <w:tcPr>
            <w:tcW w:w="964" w:type="dxa"/>
          </w:tcPr>
          <w:p w14:paraId="3D51DD19" w14:textId="77777777" w:rsidR="00A9721C" w:rsidRPr="00A8724C" w:rsidRDefault="009576E0" w:rsidP="00272C13">
            <w:pPr>
              <w:spacing w:before="60" w:after="60"/>
              <w:jc w:val="right"/>
              <w:outlineLvl w:val="1"/>
              <w:rPr>
                <w:rFonts w:ascii="Arial" w:eastAsia="Times New Roman" w:hAnsi="Arial" w:cs="Arial"/>
                <w:bCs/>
                <w:sz w:val="16"/>
                <w:szCs w:val="16"/>
                <w:lang w:eastAsia="fr-FR"/>
              </w:rPr>
            </w:pPr>
            <w:r>
              <w:rPr>
                <w:rFonts w:ascii="Arial" w:eastAsia="Times New Roman" w:hAnsi="Arial" w:cs="Arial"/>
                <w:bCs/>
                <w:sz w:val="16"/>
                <w:szCs w:val="16"/>
                <w:lang w:eastAsia="fr-FR"/>
              </w:rPr>
              <w:t>-1 843</w:t>
            </w:r>
          </w:p>
        </w:tc>
      </w:tr>
    </w:tbl>
    <w:p w14:paraId="5BC1943D" w14:textId="77777777" w:rsidR="0059283C" w:rsidRPr="00BA2A78" w:rsidRDefault="0059283C" w:rsidP="0059283C">
      <w:pPr>
        <w:autoSpaceDE w:val="0"/>
        <w:autoSpaceDN w:val="0"/>
        <w:adjustRightInd w:val="0"/>
        <w:jc w:val="both"/>
        <w:rPr>
          <w:rFonts w:ascii="Arial" w:eastAsia="Times New Roman" w:hAnsi="Arial" w:cs="Arial"/>
          <w:bCs/>
          <w:sz w:val="16"/>
          <w:szCs w:val="16"/>
          <w:lang w:eastAsia="fr-FR"/>
        </w:rPr>
      </w:pPr>
    </w:p>
    <w:p w14:paraId="2C60C4D9" w14:textId="77777777" w:rsidR="009E19D3" w:rsidRDefault="00D57D03" w:rsidP="0059283C">
      <w:pPr>
        <w:autoSpaceDE w:val="0"/>
        <w:autoSpaceDN w:val="0"/>
        <w:adjustRightInd w:val="0"/>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Le tableau ci-dessus juxtapose des valeurs de comptes administratifs </w:t>
      </w:r>
      <w:r w:rsidR="00FA200F">
        <w:rPr>
          <w:rFonts w:ascii="Arial" w:eastAsia="Times New Roman" w:hAnsi="Arial" w:cs="Arial"/>
          <w:bCs/>
          <w:sz w:val="20"/>
          <w:szCs w:val="20"/>
          <w:lang w:eastAsia="fr-FR"/>
        </w:rPr>
        <w:t>pour les années 2019 et 2020</w:t>
      </w:r>
      <w:r w:rsidR="009E19D3">
        <w:rPr>
          <w:rFonts w:ascii="Arial" w:eastAsia="Times New Roman" w:hAnsi="Arial" w:cs="Arial"/>
          <w:bCs/>
          <w:sz w:val="20"/>
          <w:szCs w:val="20"/>
          <w:lang w:eastAsia="fr-FR"/>
        </w:rPr>
        <w:t xml:space="preserve">, donc des valeurs réelles et des prévisions </w:t>
      </w:r>
      <w:r w:rsidR="00FA200F">
        <w:rPr>
          <w:rFonts w:ascii="Arial" w:eastAsia="Times New Roman" w:hAnsi="Arial" w:cs="Arial"/>
          <w:bCs/>
          <w:sz w:val="20"/>
          <w:szCs w:val="20"/>
          <w:lang w:eastAsia="fr-FR"/>
        </w:rPr>
        <w:t>budgétaires pour les années 2021 à 2024</w:t>
      </w:r>
      <w:r w:rsidR="009E19D3">
        <w:rPr>
          <w:rFonts w:ascii="Arial" w:eastAsia="Times New Roman" w:hAnsi="Arial" w:cs="Arial"/>
          <w:bCs/>
          <w:sz w:val="20"/>
          <w:szCs w:val="20"/>
          <w:lang w:eastAsia="fr-FR"/>
        </w:rPr>
        <w:t>.</w:t>
      </w:r>
    </w:p>
    <w:p w14:paraId="176C86C3" w14:textId="77777777" w:rsidR="009A06B5" w:rsidRDefault="009E19D3" w:rsidP="0059283C">
      <w:pPr>
        <w:autoSpaceDE w:val="0"/>
        <w:autoSpaceDN w:val="0"/>
        <w:adjustRightInd w:val="0"/>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Or, les dépenses inscrites au budget primitif ne sont pas toutes réalisées, pour deux raisons essentiellement : </w:t>
      </w:r>
    </w:p>
    <w:p w14:paraId="397A96B8" w14:textId="77777777" w:rsidR="00A365B0" w:rsidRDefault="00F85D94">
      <w:pPr>
        <w:pStyle w:val="Paragraphedeliste"/>
        <w:numPr>
          <w:ilvl w:val="0"/>
          <w:numId w:val="6"/>
        </w:numPr>
        <w:autoSpaceDE w:val="0"/>
        <w:autoSpaceDN w:val="0"/>
        <w:adjustRightInd w:val="0"/>
        <w:jc w:val="both"/>
        <w:rPr>
          <w:rFonts w:ascii="Arial" w:eastAsia="Times New Roman" w:hAnsi="Arial" w:cs="Arial"/>
          <w:bCs/>
          <w:sz w:val="20"/>
          <w:szCs w:val="20"/>
          <w:lang w:eastAsia="fr-FR"/>
        </w:rPr>
      </w:pPr>
      <w:proofErr w:type="gramStart"/>
      <w:r w:rsidRPr="00F85D94">
        <w:rPr>
          <w:rFonts w:ascii="Arial" w:eastAsia="Times New Roman" w:hAnsi="Arial" w:cs="Arial"/>
          <w:bCs/>
          <w:sz w:val="20"/>
          <w:szCs w:val="20"/>
          <w:lang w:eastAsia="fr-FR"/>
        </w:rPr>
        <w:t>les</w:t>
      </w:r>
      <w:proofErr w:type="gramEnd"/>
      <w:r w:rsidRPr="00F85D94">
        <w:rPr>
          <w:rFonts w:ascii="Arial" w:eastAsia="Times New Roman" w:hAnsi="Arial" w:cs="Arial"/>
          <w:bCs/>
          <w:sz w:val="20"/>
          <w:szCs w:val="20"/>
          <w:lang w:eastAsia="fr-FR"/>
        </w:rPr>
        <w:t xml:space="preserve"> </w:t>
      </w:r>
      <w:r w:rsidR="009A06B5" w:rsidRPr="00822DEF">
        <w:rPr>
          <w:rFonts w:ascii="Arial" w:eastAsia="Times New Roman" w:hAnsi="Arial" w:cs="Arial"/>
          <w:bCs/>
          <w:sz w:val="20"/>
          <w:szCs w:val="20"/>
          <w:lang w:eastAsia="fr-FR"/>
        </w:rPr>
        <w:t>crédits alloués aux services pour leur fonctionnement excèdent leurs besoins</w:t>
      </w:r>
      <w:r w:rsidR="0049637F" w:rsidRPr="00822DEF">
        <w:rPr>
          <w:rFonts w:ascii="Arial" w:eastAsia="Times New Roman" w:hAnsi="Arial" w:cs="Arial"/>
          <w:bCs/>
          <w:sz w:val="20"/>
          <w:szCs w:val="20"/>
          <w:lang w:eastAsia="fr-FR"/>
        </w:rPr>
        <w:t xml:space="preserve"> ou leur capacité à faire et </w:t>
      </w:r>
      <w:r w:rsidR="009A06B5" w:rsidRPr="00822DEF">
        <w:rPr>
          <w:rFonts w:ascii="Arial" w:eastAsia="Times New Roman" w:hAnsi="Arial" w:cs="Arial"/>
          <w:bCs/>
          <w:sz w:val="20"/>
          <w:szCs w:val="20"/>
          <w:lang w:eastAsia="fr-FR"/>
        </w:rPr>
        <w:t>les travaux</w:t>
      </w:r>
      <w:r w:rsidR="0049637F" w:rsidRPr="00822DEF">
        <w:rPr>
          <w:rFonts w:ascii="Arial" w:eastAsia="Times New Roman" w:hAnsi="Arial" w:cs="Arial"/>
          <w:bCs/>
          <w:sz w:val="20"/>
          <w:szCs w:val="20"/>
          <w:lang w:eastAsia="fr-FR"/>
        </w:rPr>
        <w:t xml:space="preserve"> aux entreprises peuvent être décalés d’une année sur l’autre, pour des raisons </w:t>
      </w:r>
      <w:r w:rsidRPr="00F85D94">
        <w:rPr>
          <w:rFonts w:ascii="Arial" w:eastAsia="Times New Roman" w:hAnsi="Arial" w:cs="Arial"/>
          <w:bCs/>
          <w:sz w:val="20"/>
          <w:szCs w:val="20"/>
          <w:lang w:eastAsia="fr-FR"/>
        </w:rPr>
        <w:t xml:space="preserve">indépendantes de </w:t>
      </w:r>
      <w:r w:rsidR="0049637F" w:rsidRPr="00822DEF">
        <w:rPr>
          <w:rFonts w:ascii="Arial" w:eastAsia="Times New Roman" w:hAnsi="Arial" w:cs="Arial"/>
          <w:bCs/>
          <w:sz w:val="20"/>
          <w:szCs w:val="20"/>
          <w:lang w:eastAsia="fr-FR"/>
        </w:rPr>
        <w:t>la collectivité</w:t>
      </w:r>
    </w:p>
    <w:p w14:paraId="2EF4ED4E" w14:textId="33144009" w:rsidR="00A365B0" w:rsidRDefault="00F85D94">
      <w:pPr>
        <w:pStyle w:val="Paragraphedeliste"/>
        <w:numPr>
          <w:ilvl w:val="0"/>
          <w:numId w:val="6"/>
        </w:numPr>
        <w:autoSpaceDE w:val="0"/>
        <w:autoSpaceDN w:val="0"/>
        <w:adjustRightInd w:val="0"/>
        <w:jc w:val="both"/>
        <w:rPr>
          <w:rFonts w:ascii="Arial" w:eastAsia="Times New Roman" w:hAnsi="Arial" w:cs="Arial"/>
          <w:bCs/>
          <w:sz w:val="20"/>
          <w:szCs w:val="20"/>
          <w:lang w:eastAsia="fr-FR"/>
        </w:rPr>
      </w:pPr>
      <w:proofErr w:type="gramStart"/>
      <w:r w:rsidRPr="00F85D94">
        <w:rPr>
          <w:rFonts w:ascii="Arial" w:eastAsia="Times New Roman" w:hAnsi="Arial" w:cs="Arial"/>
          <w:bCs/>
          <w:sz w:val="20"/>
          <w:szCs w:val="20"/>
          <w:lang w:eastAsia="fr-FR"/>
        </w:rPr>
        <w:t>les</w:t>
      </w:r>
      <w:proofErr w:type="gramEnd"/>
      <w:r w:rsidRPr="00F85D94">
        <w:rPr>
          <w:rFonts w:ascii="Arial" w:eastAsia="Times New Roman" w:hAnsi="Arial" w:cs="Arial"/>
          <w:bCs/>
          <w:sz w:val="20"/>
          <w:szCs w:val="20"/>
          <w:lang w:eastAsia="fr-FR"/>
        </w:rPr>
        <w:t xml:space="preserve"> emplois réellement pourvus en cours d’exercice sont inférieurs à ceux prévus</w:t>
      </w:r>
      <w:r w:rsidR="009A06B5" w:rsidRPr="00822DEF">
        <w:rPr>
          <w:rFonts w:ascii="Arial" w:eastAsia="Times New Roman" w:hAnsi="Arial" w:cs="Arial"/>
          <w:bCs/>
          <w:sz w:val="20"/>
          <w:szCs w:val="20"/>
          <w:lang w:eastAsia="fr-FR"/>
        </w:rPr>
        <w:t>, suite à de</w:t>
      </w:r>
      <w:r w:rsidRPr="00F85D94">
        <w:rPr>
          <w:rFonts w:ascii="Arial" w:eastAsia="Times New Roman" w:hAnsi="Arial" w:cs="Arial"/>
          <w:bCs/>
          <w:sz w:val="20"/>
          <w:szCs w:val="20"/>
          <w:lang w:eastAsia="fr-FR"/>
        </w:rPr>
        <w:t>s</w:t>
      </w:r>
      <w:r w:rsidR="009A06B5" w:rsidRPr="00822DEF">
        <w:rPr>
          <w:rFonts w:ascii="Arial" w:eastAsia="Times New Roman" w:hAnsi="Arial" w:cs="Arial"/>
          <w:bCs/>
          <w:sz w:val="20"/>
          <w:szCs w:val="20"/>
          <w:lang w:eastAsia="fr-FR"/>
        </w:rPr>
        <w:t xml:space="preserve"> mutation</w:t>
      </w:r>
      <w:r w:rsidR="00CE7499">
        <w:rPr>
          <w:rFonts w:ascii="Arial" w:eastAsia="Times New Roman" w:hAnsi="Arial" w:cs="Arial"/>
          <w:bCs/>
          <w:sz w:val="20"/>
          <w:szCs w:val="20"/>
          <w:lang w:eastAsia="fr-FR"/>
        </w:rPr>
        <w:t>s</w:t>
      </w:r>
      <w:r w:rsidR="009A06B5" w:rsidRPr="00822DEF">
        <w:rPr>
          <w:rFonts w:ascii="Arial" w:eastAsia="Times New Roman" w:hAnsi="Arial" w:cs="Arial"/>
          <w:bCs/>
          <w:sz w:val="20"/>
          <w:szCs w:val="20"/>
          <w:lang w:eastAsia="fr-FR"/>
        </w:rPr>
        <w:t xml:space="preserve"> d’agents et vacances de postes le temps du recrutement de nouveaux agents</w:t>
      </w:r>
    </w:p>
    <w:p w14:paraId="0540A8B9" w14:textId="77777777" w:rsidR="009E19D3" w:rsidRPr="009A06B5" w:rsidRDefault="00F85D94">
      <w:pPr>
        <w:autoSpaceDE w:val="0"/>
        <w:autoSpaceDN w:val="0"/>
        <w:adjustRightInd w:val="0"/>
        <w:jc w:val="both"/>
        <w:rPr>
          <w:rFonts w:ascii="Arial" w:eastAsia="Times New Roman" w:hAnsi="Arial" w:cs="Arial"/>
          <w:bCs/>
          <w:sz w:val="20"/>
          <w:szCs w:val="20"/>
          <w:lang w:eastAsia="fr-FR"/>
        </w:rPr>
      </w:pPr>
      <w:r w:rsidRPr="00F85D94">
        <w:rPr>
          <w:rFonts w:ascii="Arial" w:eastAsia="Times New Roman" w:hAnsi="Arial" w:cs="Arial"/>
          <w:bCs/>
          <w:sz w:val="20"/>
          <w:szCs w:val="20"/>
          <w:lang w:eastAsia="fr-FR"/>
        </w:rPr>
        <w:t xml:space="preserve">Des recettes additionnelles peuvent aussi être comptabilisées et être plus élevées que celles estimées, comme les droits de mutation. </w:t>
      </w:r>
    </w:p>
    <w:p w14:paraId="1C957D74" w14:textId="77777777" w:rsidR="009E19D3" w:rsidRPr="0049637F" w:rsidRDefault="00F85D94" w:rsidP="0059283C">
      <w:pPr>
        <w:autoSpaceDE w:val="0"/>
        <w:autoSpaceDN w:val="0"/>
        <w:adjustRightInd w:val="0"/>
        <w:jc w:val="both"/>
        <w:rPr>
          <w:rFonts w:ascii="Arial" w:eastAsia="Times New Roman" w:hAnsi="Arial" w:cs="Arial"/>
          <w:b/>
          <w:bCs/>
          <w:sz w:val="20"/>
          <w:szCs w:val="20"/>
          <w:lang w:eastAsia="fr-FR"/>
        </w:rPr>
      </w:pPr>
      <w:r w:rsidRPr="00F85D94">
        <w:rPr>
          <w:rFonts w:ascii="Arial" w:eastAsia="Times New Roman" w:hAnsi="Arial" w:cs="Arial"/>
          <w:b/>
          <w:bCs/>
          <w:sz w:val="20"/>
          <w:szCs w:val="20"/>
          <w:lang w:eastAsia="fr-FR"/>
        </w:rPr>
        <w:t xml:space="preserve">Ce sont ces différentes raisons qui expliquent, qu’historiquement, un excédent de l’ordre de 1 à 2 M€ peut être dégagé sur la section de fonctionnement, conduisant ainsi à une épargne nette positive en réalisation versus une épargne nette négative affichée dans les budgets primitifs. </w:t>
      </w:r>
    </w:p>
    <w:p w14:paraId="2DFA801E" w14:textId="77777777" w:rsidR="009E19D3" w:rsidRPr="00FA2297" w:rsidRDefault="009E19D3" w:rsidP="0059283C">
      <w:pPr>
        <w:autoSpaceDE w:val="0"/>
        <w:autoSpaceDN w:val="0"/>
        <w:adjustRightInd w:val="0"/>
        <w:jc w:val="both"/>
        <w:rPr>
          <w:rFonts w:ascii="Arial" w:eastAsia="Times New Roman" w:hAnsi="Arial" w:cs="Arial"/>
          <w:bCs/>
          <w:sz w:val="20"/>
          <w:szCs w:val="20"/>
          <w:lang w:eastAsia="fr-FR"/>
        </w:rPr>
      </w:pPr>
      <w:r w:rsidRPr="00FA2297">
        <w:rPr>
          <w:rFonts w:ascii="Arial" w:eastAsia="Times New Roman" w:hAnsi="Arial" w:cs="Arial"/>
          <w:bCs/>
          <w:sz w:val="20"/>
          <w:szCs w:val="20"/>
          <w:lang w:eastAsia="fr-FR"/>
        </w:rPr>
        <w:t>Si à c</w:t>
      </w:r>
      <w:r w:rsidR="0059283C" w:rsidRPr="00FA2297">
        <w:rPr>
          <w:rFonts w:ascii="Arial" w:eastAsia="Times New Roman" w:hAnsi="Arial" w:cs="Arial"/>
          <w:bCs/>
          <w:sz w:val="20"/>
          <w:szCs w:val="20"/>
          <w:lang w:eastAsia="fr-FR"/>
        </w:rPr>
        <w:t>e stade de la prospective, une évaluation du niveau des épargnes est proposée</w:t>
      </w:r>
      <w:r w:rsidRPr="00FA2297">
        <w:rPr>
          <w:rFonts w:ascii="Arial" w:eastAsia="Times New Roman" w:hAnsi="Arial" w:cs="Arial"/>
          <w:bCs/>
          <w:sz w:val="20"/>
          <w:szCs w:val="20"/>
          <w:lang w:eastAsia="fr-FR"/>
        </w:rPr>
        <w:t xml:space="preserve">, il n’en demeure pas moins que des tendances lourdes se dégagent, à savoir : </w:t>
      </w:r>
    </w:p>
    <w:p w14:paraId="7E11C27B" w14:textId="2AE96F83" w:rsidR="009E19D3" w:rsidRPr="00FA2297" w:rsidRDefault="00703AFD" w:rsidP="009E19D3">
      <w:pPr>
        <w:pStyle w:val="Paragraphedeliste"/>
        <w:numPr>
          <w:ilvl w:val="0"/>
          <w:numId w:val="6"/>
        </w:numPr>
        <w:autoSpaceDE w:val="0"/>
        <w:autoSpaceDN w:val="0"/>
        <w:adjustRightInd w:val="0"/>
        <w:jc w:val="both"/>
        <w:rPr>
          <w:rFonts w:ascii="Arial" w:eastAsia="Times New Roman" w:hAnsi="Arial" w:cs="Arial"/>
          <w:bCs/>
          <w:sz w:val="20"/>
          <w:szCs w:val="20"/>
          <w:lang w:eastAsia="fr-FR"/>
        </w:rPr>
      </w:pPr>
      <w:proofErr w:type="gramStart"/>
      <w:r w:rsidRPr="00FA2297">
        <w:rPr>
          <w:rFonts w:ascii="Arial" w:eastAsia="Times New Roman" w:hAnsi="Arial" w:cs="Arial"/>
          <w:bCs/>
          <w:sz w:val="20"/>
          <w:szCs w:val="20"/>
          <w:lang w:eastAsia="fr-FR"/>
        </w:rPr>
        <w:t>la</w:t>
      </w:r>
      <w:proofErr w:type="gramEnd"/>
      <w:r w:rsidRPr="00FA2297">
        <w:rPr>
          <w:rFonts w:ascii="Arial" w:eastAsia="Times New Roman" w:hAnsi="Arial" w:cs="Arial"/>
          <w:bCs/>
          <w:sz w:val="20"/>
          <w:szCs w:val="20"/>
          <w:lang w:eastAsia="fr-FR"/>
        </w:rPr>
        <w:t xml:space="preserve"> </w:t>
      </w:r>
      <w:r w:rsidR="009E19D3" w:rsidRPr="00FA2297">
        <w:rPr>
          <w:rFonts w:ascii="Arial" w:eastAsia="Times New Roman" w:hAnsi="Arial" w:cs="Arial"/>
          <w:bCs/>
          <w:sz w:val="20"/>
          <w:szCs w:val="20"/>
          <w:lang w:eastAsia="fr-FR"/>
        </w:rPr>
        <w:t xml:space="preserve">stagnation des recettes de fonctionnement, la part des ressources </w:t>
      </w:r>
      <w:r w:rsidRPr="00FA2297">
        <w:rPr>
          <w:rFonts w:ascii="Arial" w:eastAsia="Times New Roman" w:hAnsi="Arial" w:cs="Arial"/>
          <w:bCs/>
          <w:sz w:val="20"/>
          <w:szCs w:val="20"/>
          <w:lang w:eastAsia="fr-FR"/>
        </w:rPr>
        <w:t>sur lesquelles la Ville peut agir étant de plus en plus limitée </w:t>
      </w:r>
      <w:r w:rsidR="00A668B5">
        <w:rPr>
          <w:rFonts w:ascii="Arial" w:eastAsia="Times New Roman" w:hAnsi="Arial" w:cs="Arial"/>
          <w:bCs/>
          <w:sz w:val="20"/>
          <w:szCs w:val="20"/>
          <w:lang w:eastAsia="fr-FR"/>
        </w:rPr>
        <w:t xml:space="preserve">car portant sur les seuls </w:t>
      </w:r>
      <w:r w:rsidRPr="00FA2297">
        <w:rPr>
          <w:rFonts w:ascii="Arial" w:eastAsia="Times New Roman" w:hAnsi="Arial" w:cs="Arial"/>
          <w:bCs/>
          <w:sz w:val="20"/>
          <w:szCs w:val="20"/>
          <w:lang w:eastAsia="fr-FR"/>
        </w:rPr>
        <w:t>produits des services</w:t>
      </w:r>
      <w:r w:rsidR="0049637F">
        <w:rPr>
          <w:rFonts w:ascii="Arial" w:eastAsia="Times New Roman" w:hAnsi="Arial" w:cs="Arial"/>
          <w:bCs/>
          <w:sz w:val="20"/>
          <w:szCs w:val="20"/>
          <w:lang w:eastAsia="fr-FR"/>
        </w:rPr>
        <w:t xml:space="preserve">, </w:t>
      </w:r>
      <w:r w:rsidRPr="00FA2297">
        <w:rPr>
          <w:rFonts w:ascii="Arial" w:eastAsia="Times New Roman" w:hAnsi="Arial" w:cs="Arial"/>
          <w:bCs/>
          <w:sz w:val="20"/>
          <w:szCs w:val="20"/>
          <w:lang w:eastAsia="fr-FR"/>
        </w:rPr>
        <w:t>étant rappelé l’engagement pris de ne pas augmenter le taux de la taxe foncière sur la mandature</w:t>
      </w:r>
      <w:r w:rsidR="00172EA2" w:rsidRPr="00FA2297">
        <w:rPr>
          <w:rFonts w:ascii="Arial" w:eastAsia="Times New Roman" w:hAnsi="Arial" w:cs="Arial"/>
          <w:bCs/>
          <w:sz w:val="20"/>
          <w:szCs w:val="20"/>
          <w:lang w:eastAsia="fr-FR"/>
        </w:rPr>
        <w:t> ;</w:t>
      </w:r>
    </w:p>
    <w:p w14:paraId="0A5EE2BF" w14:textId="77777777" w:rsidR="00E81694" w:rsidRPr="00FA2297" w:rsidRDefault="00703AFD" w:rsidP="00CE209A">
      <w:pPr>
        <w:pStyle w:val="Paragraphedeliste"/>
        <w:numPr>
          <w:ilvl w:val="0"/>
          <w:numId w:val="6"/>
        </w:numPr>
        <w:autoSpaceDE w:val="0"/>
        <w:autoSpaceDN w:val="0"/>
        <w:adjustRightInd w:val="0"/>
        <w:jc w:val="both"/>
        <w:rPr>
          <w:rFonts w:ascii="Arial" w:eastAsia="Times New Roman" w:hAnsi="Arial" w:cs="Arial"/>
          <w:bCs/>
          <w:sz w:val="20"/>
          <w:szCs w:val="20"/>
          <w:lang w:eastAsia="fr-FR"/>
        </w:rPr>
      </w:pPr>
      <w:proofErr w:type="gramStart"/>
      <w:r w:rsidRPr="00FA2297">
        <w:rPr>
          <w:rFonts w:ascii="Arial" w:eastAsia="Times New Roman" w:hAnsi="Arial" w:cs="Arial"/>
          <w:bCs/>
          <w:sz w:val="20"/>
          <w:szCs w:val="20"/>
          <w:lang w:eastAsia="fr-FR"/>
        </w:rPr>
        <w:t>la</w:t>
      </w:r>
      <w:proofErr w:type="gramEnd"/>
      <w:r w:rsidRPr="00FA2297">
        <w:rPr>
          <w:rFonts w:ascii="Arial" w:eastAsia="Times New Roman" w:hAnsi="Arial" w:cs="Arial"/>
          <w:bCs/>
          <w:sz w:val="20"/>
          <w:szCs w:val="20"/>
          <w:lang w:eastAsia="fr-FR"/>
        </w:rPr>
        <w:t xml:space="preserve"> </w:t>
      </w:r>
      <w:r w:rsidR="00E97E41" w:rsidRPr="00FA2297">
        <w:rPr>
          <w:rFonts w:ascii="Arial" w:eastAsia="Times New Roman" w:hAnsi="Arial" w:cs="Arial"/>
          <w:bCs/>
          <w:sz w:val="20"/>
          <w:szCs w:val="20"/>
          <w:lang w:eastAsia="fr-FR"/>
        </w:rPr>
        <w:t>progression des dépenses courantes plus rapide que celle des recettes</w:t>
      </w:r>
      <w:r w:rsidRPr="00FA2297">
        <w:rPr>
          <w:rFonts w:ascii="Arial" w:eastAsia="Times New Roman" w:hAnsi="Arial" w:cs="Arial"/>
          <w:bCs/>
          <w:sz w:val="20"/>
          <w:szCs w:val="20"/>
          <w:lang w:eastAsia="fr-FR"/>
        </w:rPr>
        <w:t>, sous l’effet de l’inflation et de la progression mécanique des charges de personnel</w:t>
      </w:r>
      <w:r w:rsidR="00660C31" w:rsidRPr="00FA2297">
        <w:rPr>
          <w:rFonts w:ascii="Arial" w:eastAsia="Times New Roman" w:hAnsi="Arial" w:cs="Arial"/>
          <w:bCs/>
          <w:sz w:val="20"/>
          <w:szCs w:val="20"/>
          <w:lang w:eastAsia="fr-FR"/>
        </w:rPr>
        <w:t>.</w:t>
      </w:r>
    </w:p>
    <w:p w14:paraId="752D68D0" w14:textId="77777777" w:rsidR="00703AFD" w:rsidRDefault="00FA2297" w:rsidP="00703AFD">
      <w:pPr>
        <w:autoSpaceDE w:val="0"/>
        <w:autoSpaceDN w:val="0"/>
        <w:adjustRightInd w:val="0"/>
        <w:jc w:val="both"/>
        <w:rPr>
          <w:rFonts w:ascii="Arial" w:eastAsia="Times New Roman" w:hAnsi="Arial" w:cs="Arial"/>
          <w:bCs/>
          <w:sz w:val="20"/>
          <w:szCs w:val="20"/>
          <w:lang w:eastAsia="fr-FR"/>
        </w:rPr>
      </w:pPr>
      <w:r>
        <w:rPr>
          <w:rFonts w:ascii="Arial" w:eastAsia="Times New Roman" w:hAnsi="Arial" w:cs="Arial"/>
          <w:bCs/>
          <w:sz w:val="20"/>
          <w:szCs w:val="20"/>
          <w:lang w:eastAsia="fr-FR"/>
        </w:rPr>
        <w:t>Aussi, la prospective 2022-2024</w:t>
      </w:r>
      <w:r w:rsidR="00703AFD">
        <w:rPr>
          <w:rFonts w:ascii="Arial" w:eastAsia="Times New Roman" w:hAnsi="Arial" w:cs="Arial"/>
          <w:bCs/>
          <w:sz w:val="20"/>
          <w:szCs w:val="20"/>
          <w:lang w:eastAsia="fr-FR"/>
        </w:rPr>
        <w:t xml:space="preserve"> poursuit 4 objectifs : </w:t>
      </w:r>
    </w:p>
    <w:p w14:paraId="6A1AF2F0" w14:textId="77777777" w:rsidR="00703AFD" w:rsidRDefault="00703AFD" w:rsidP="00703AFD">
      <w:pPr>
        <w:pStyle w:val="Paragraphedeliste"/>
        <w:numPr>
          <w:ilvl w:val="0"/>
          <w:numId w:val="6"/>
        </w:numPr>
        <w:autoSpaceDE w:val="0"/>
        <w:autoSpaceDN w:val="0"/>
        <w:adjustRightInd w:val="0"/>
        <w:jc w:val="both"/>
        <w:rPr>
          <w:rFonts w:ascii="Arial" w:eastAsia="Times New Roman" w:hAnsi="Arial" w:cs="Arial"/>
          <w:bCs/>
          <w:sz w:val="20"/>
          <w:szCs w:val="20"/>
          <w:lang w:eastAsia="fr-FR"/>
        </w:rPr>
      </w:pPr>
      <w:proofErr w:type="gramStart"/>
      <w:r w:rsidRPr="00714DA7">
        <w:rPr>
          <w:rFonts w:ascii="Arial" w:eastAsia="Times New Roman" w:hAnsi="Arial" w:cs="Arial"/>
          <w:b/>
          <w:sz w:val="20"/>
          <w:szCs w:val="20"/>
          <w:lang w:eastAsia="fr-FR"/>
        </w:rPr>
        <w:t>la</w:t>
      </w:r>
      <w:proofErr w:type="gramEnd"/>
      <w:r w:rsidRPr="00714DA7">
        <w:rPr>
          <w:rFonts w:ascii="Arial" w:eastAsia="Times New Roman" w:hAnsi="Arial" w:cs="Arial"/>
          <w:b/>
          <w:sz w:val="20"/>
          <w:szCs w:val="20"/>
          <w:lang w:eastAsia="fr-FR"/>
        </w:rPr>
        <w:t xml:space="preserve"> maîtrise de l’évolution des dépenses de fonctionnement</w:t>
      </w:r>
      <w:r>
        <w:rPr>
          <w:rFonts w:ascii="Arial" w:eastAsia="Times New Roman" w:hAnsi="Arial" w:cs="Arial"/>
          <w:bCs/>
          <w:sz w:val="20"/>
          <w:szCs w:val="20"/>
          <w:lang w:eastAsia="fr-FR"/>
        </w:rPr>
        <w:t>, ce qui doit conduire à prioriser les actions à engager et autofinancer celles-ci par recherche de subventions ou réaffectation de crédits</w:t>
      </w:r>
      <w:r w:rsidR="003E5345">
        <w:rPr>
          <w:rFonts w:ascii="Arial" w:eastAsia="Times New Roman" w:hAnsi="Arial" w:cs="Arial"/>
          <w:bCs/>
          <w:sz w:val="20"/>
          <w:szCs w:val="20"/>
          <w:lang w:eastAsia="fr-FR"/>
        </w:rPr>
        <w:t>. L’inscription de la ville dans une démarche de trans</w:t>
      </w:r>
      <w:r w:rsidR="00FA2297">
        <w:rPr>
          <w:rFonts w:ascii="Arial" w:eastAsia="Times New Roman" w:hAnsi="Arial" w:cs="Arial"/>
          <w:bCs/>
          <w:sz w:val="20"/>
          <w:szCs w:val="20"/>
          <w:lang w:eastAsia="fr-FR"/>
        </w:rPr>
        <w:t>ition écologique se concrétise</w:t>
      </w:r>
      <w:r w:rsidR="003E5345">
        <w:rPr>
          <w:rFonts w:ascii="Arial" w:eastAsia="Times New Roman" w:hAnsi="Arial" w:cs="Arial"/>
          <w:bCs/>
          <w:sz w:val="20"/>
          <w:szCs w:val="20"/>
          <w:lang w:eastAsia="fr-FR"/>
        </w:rPr>
        <w:t xml:space="preserve"> notamment par une politique de rénovation régulière d’équipements publics dans un objectif </w:t>
      </w:r>
      <w:r w:rsidR="003E5345">
        <w:rPr>
          <w:rFonts w:ascii="Arial" w:eastAsia="Times New Roman" w:hAnsi="Arial" w:cs="Arial"/>
          <w:bCs/>
          <w:sz w:val="20"/>
          <w:szCs w:val="20"/>
          <w:lang w:eastAsia="fr-FR"/>
        </w:rPr>
        <w:lastRenderedPageBreak/>
        <w:t xml:space="preserve">d’entretien mais aussi de réduction de la consommation énergétique. Les charges de fonctionnement et l’empreinte carbone de la ville pourraient ainsi décroître sur la période. </w:t>
      </w:r>
    </w:p>
    <w:p w14:paraId="26E6D94D" w14:textId="77777777" w:rsidR="00714DA7" w:rsidRDefault="00714DA7" w:rsidP="00714DA7">
      <w:pPr>
        <w:pStyle w:val="Paragraphedeliste"/>
        <w:autoSpaceDE w:val="0"/>
        <w:autoSpaceDN w:val="0"/>
        <w:adjustRightInd w:val="0"/>
        <w:jc w:val="both"/>
        <w:rPr>
          <w:rFonts w:ascii="Arial" w:eastAsia="Times New Roman" w:hAnsi="Arial" w:cs="Arial"/>
          <w:bCs/>
          <w:sz w:val="20"/>
          <w:szCs w:val="20"/>
          <w:lang w:eastAsia="fr-FR"/>
        </w:rPr>
      </w:pPr>
    </w:p>
    <w:p w14:paraId="012B18F9" w14:textId="77777777" w:rsidR="00703AFD" w:rsidRDefault="00703AFD" w:rsidP="00703AFD">
      <w:pPr>
        <w:pStyle w:val="Paragraphedeliste"/>
        <w:numPr>
          <w:ilvl w:val="0"/>
          <w:numId w:val="6"/>
        </w:numPr>
        <w:autoSpaceDE w:val="0"/>
        <w:autoSpaceDN w:val="0"/>
        <w:adjustRightInd w:val="0"/>
        <w:jc w:val="both"/>
        <w:rPr>
          <w:rFonts w:ascii="Arial" w:eastAsia="Times New Roman" w:hAnsi="Arial" w:cs="Arial"/>
          <w:bCs/>
          <w:sz w:val="20"/>
          <w:szCs w:val="20"/>
          <w:lang w:eastAsia="fr-FR"/>
        </w:rPr>
      </w:pPr>
      <w:proofErr w:type="gramStart"/>
      <w:r w:rsidRPr="00910A62">
        <w:rPr>
          <w:rFonts w:ascii="Arial" w:eastAsia="Times New Roman" w:hAnsi="Arial" w:cs="Arial"/>
          <w:b/>
          <w:sz w:val="20"/>
          <w:szCs w:val="20"/>
          <w:lang w:eastAsia="fr-FR"/>
        </w:rPr>
        <w:t>une</w:t>
      </w:r>
      <w:proofErr w:type="gramEnd"/>
      <w:r w:rsidRPr="00910A62">
        <w:rPr>
          <w:rFonts w:ascii="Arial" w:eastAsia="Times New Roman" w:hAnsi="Arial" w:cs="Arial"/>
          <w:b/>
          <w:sz w:val="20"/>
          <w:szCs w:val="20"/>
          <w:lang w:eastAsia="fr-FR"/>
        </w:rPr>
        <w:t xml:space="preserve"> politique ambitieuse en matière de </w:t>
      </w:r>
      <w:r w:rsidR="003E5345" w:rsidRPr="00910A62">
        <w:rPr>
          <w:rFonts w:ascii="Arial" w:eastAsia="Times New Roman" w:hAnsi="Arial" w:cs="Arial"/>
          <w:b/>
          <w:sz w:val="20"/>
          <w:szCs w:val="20"/>
          <w:lang w:eastAsia="fr-FR"/>
        </w:rPr>
        <w:t xml:space="preserve">recherche de </w:t>
      </w:r>
      <w:r w:rsidRPr="00910A62">
        <w:rPr>
          <w:rFonts w:ascii="Arial" w:eastAsia="Times New Roman" w:hAnsi="Arial" w:cs="Arial"/>
          <w:b/>
          <w:sz w:val="20"/>
          <w:szCs w:val="20"/>
          <w:lang w:eastAsia="fr-FR"/>
        </w:rPr>
        <w:t>subventions</w:t>
      </w:r>
      <w:r w:rsidR="00714DA7">
        <w:rPr>
          <w:rFonts w:ascii="Arial" w:eastAsia="Times New Roman" w:hAnsi="Arial" w:cs="Arial"/>
          <w:bCs/>
          <w:sz w:val="20"/>
          <w:szCs w:val="20"/>
          <w:lang w:eastAsia="fr-FR"/>
        </w:rPr>
        <w:t>, en fonctionnement comme en investissements</w:t>
      </w:r>
      <w:r w:rsidR="001F06D8">
        <w:rPr>
          <w:rFonts w:ascii="Arial" w:eastAsia="Times New Roman" w:hAnsi="Arial" w:cs="Arial"/>
          <w:bCs/>
          <w:sz w:val="20"/>
          <w:szCs w:val="20"/>
          <w:lang w:eastAsia="fr-FR"/>
        </w:rPr>
        <w:t>,</w:t>
      </w:r>
      <w:r>
        <w:rPr>
          <w:rFonts w:ascii="Arial" w:eastAsia="Times New Roman" w:hAnsi="Arial" w:cs="Arial"/>
          <w:bCs/>
          <w:sz w:val="20"/>
          <w:szCs w:val="20"/>
          <w:lang w:eastAsia="fr-FR"/>
        </w:rPr>
        <w:t xml:space="preserve"> pour permettre à la fois la réalisation des projets, contenir la dette et améliorer l’épargne nette</w:t>
      </w:r>
      <w:r w:rsidR="00172EA2">
        <w:rPr>
          <w:rFonts w:ascii="Arial" w:eastAsia="Times New Roman" w:hAnsi="Arial" w:cs="Arial"/>
          <w:bCs/>
          <w:sz w:val="20"/>
          <w:szCs w:val="20"/>
          <w:lang w:eastAsia="fr-FR"/>
        </w:rPr>
        <w:t> ;</w:t>
      </w:r>
    </w:p>
    <w:p w14:paraId="6D69AC32" w14:textId="77777777" w:rsidR="00910A62" w:rsidRPr="00910A62" w:rsidRDefault="00910A62" w:rsidP="00910A62">
      <w:pPr>
        <w:pStyle w:val="Paragraphedeliste"/>
        <w:rPr>
          <w:rFonts w:ascii="Arial" w:eastAsia="Times New Roman" w:hAnsi="Arial" w:cs="Arial"/>
          <w:bCs/>
          <w:sz w:val="20"/>
          <w:szCs w:val="20"/>
          <w:lang w:eastAsia="fr-FR"/>
        </w:rPr>
      </w:pPr>
    </w:p>
    <w:p w14:paraId="09FFECA9" w14:textId="77777777" w:rsidR="00703AFD" w:rsidRDefault="00703AFD" w:rsidP="00703AFD">
      <w:pPr>
        <w:pStyle w:val="Paragraphedeliste"/>
        <w:numPr>
          <w:ilvl w:val="0"/>
          <w:numId w:val="6"/>
        </w:numPr>
        <w:autoSpaceDE w:val="0"/>
        <w:autoSpaceDN w:val="0"/>
        <w:adjustRightInd w:val="0"/>
        <w:jc w:val="both"/>
        <w:rPr>
          <w:rFonts w:ascii="Arial" w:eastAsia="Times New Roman" w:hAnsi="Arial" w:cs="Arial"/>
          <w:bCs/>
          <w:sz w:val="20"/>
          <w:szCs w:val="20"/>
          <w:lang w:eastAsia="fr-FR"/>
        </w:rPr>
      </w:pPr>
      <w:proofErr w:type="gramStart"/>
      <w:r w:rsidRPr="00910A62">
        <w:rPr>
          <w:rFonts w:ascii="Arial" w:eastAsia="Times New Roman" w:hAnsi="Arial" w:cs="Arial"/>
          <w:b/>
          <w:sz w:val="20"/>
          <w:szCs w:val="20"/>
          <w:lang w:eastAsia="fr-FR"/>
        </w:rPr>
        <w:t>le</w:t>
      </w:r>
      <w:proofErr w:type="gramEnd"/>
      <w:r w:rsidRPr="00910A62">
        <w:rPr>
          <w:rFonts w:ascii="Arial" w:eastAsia="Times New Roman" w:hAnsi="Arial" w:cs="Arial"/>
          <w:b/>
          <w:sz w:val="20"/>
          <w:szCs w:val="20"/>
          <w:lang w:eastAsia="fr-FR"/>
        </w:rPr>
        <w:t xml:space="preserve"> maintien d’un service public de qualité</w:t>
      </w:r>
      <w:r w:rsidR="00172EA2">
        <w:rPr>
          <w:rFonts w:ascii="Arial" w:eastAsia="Times New Roman" w:hAnsi="Arial" w:cs="Arial"/>
          <w:bCs/>
          <w:sz w:val="20"/>
          <w:szCs w:val="20"/>
          <w:lang w:eastAsia="fr-FR"/>
        </w:rPr>
        <w:t> ;</w:t>
      </w:r>
    </w:p>
    <w:p w14:paraId="3A26BD07" w14:textId="77777777" w:rsidR="00714DA7" w:rsidRDefault="00714DA7" w:rsidP="00714DA7">
      <w:pPr>
        <w:pStyle w:val="Paragraphedeliste"/>
        <w:autoSpaceDE w:val="0"/>
        <w:autoSpaceDN w:val="0"/>
        <w:adjustRightInd w:val="0"/>
        <w:jc w:val="both"/>
        <w:rPr>
          <w:rFonts w:ascii="Arial" w:eastAsia="Times New Roman" w:hAnsi="Arial" w:cs="Arial"/>
          <w:bCs/>
          <w:sz w:val="20"/>
          <w:szCs w:val="20"/>
          <w:lang w:eastAsia="fr-FR"/>
        </w:rPr>
      </w:pPr>
    </w:p>
    <w:p w14:paraId="7B2E80C5" w14:textId="77777777" w:rsidR="00703AFD" w:rsidRPr="00874E49" w:rsidRDefault="00703AFD" w:rsidP="00703AFD">
      <w:pPr>
        <w:pStyle w:val="Paragraphedeliste"/>
        <w:numPr>
          <w:ilvl w:val="0"/>
          <w:numId w:val="6"/>
        </w:numPr>
        <w:autoSpaceDE w:val="0"/>
        <w:autoSpaceDN w:val="0"/>
        <w:adjustRightInd w:val="0"/>
        <w:jc w:val="both"/>
        <w:rPr>
          <w:rFonts w:ascii="Arial" w:eastAsia="Times New Roman" w:hAnsi="Arial" w:cs="Arial"/>
          <w:bCs/>
          <w:sz w:val="20"/>
          <w:szCs w:val="20"/>
          <w:lang w:eastAsia="fr-FR"/>
        </w:rPr>
      </w:pPr>
      <w:proofErr w:type="gramStart"/>
      <w:r w:rsidRPr="00910A62">
        <w:rPr>
          <w:rFonts w:ascii="Arial" w:eastAsia="Times New Roman" w:hAnsi="Arial" w:cs="Arial"/>
          <w:b/>
          <w:sz w:val="20"/>
          <w:szCs w:val="20"/>
          <w:lang w:eastAsia="fr-FR"/>
        </w:rPr>
        <w:t>le</w:t>
      </w:r>
      <w:proofErr w:type="gramEnd"/>
      <w:r w:rsidRPr="00910A62">
        <w:rPr>
          <w:rFonts w:ascii="Arial" w:eastAsia="Times New Roman" w:hAnsi="Arial" w:cs="Arial"/>
          <w:b/>
          <w:sz w:val="20"/>
          <w:szCs w:val="20"/>
          <w:lang w:eastAsia="fr-FR"/>
        </w:rPr>
        <w:t xml:space="preserve"> nécessaire soutien d’une politique sociale</w:t>
      </w:r>
      <w:r>
        <w:rPr>
          <w:rFonts w:ascii="Arial" w:eastAsia="Times New Roman" w:hAnsi="Arial" w:cs="Arial"/>
          <w:bCs/>
          <w:sz w:val="20"/>
          <w:szCs w:val="20"/>
          <w:lang w:eastAsia="fr-FR"/>
        </w:rPr>
        <w:t xml:space="preserve">, d’autant plus importante en ces temps de </w:t>
      </w:r>
      <w:r w:rsidR="00FA2297">
        <w:rPr>
          <w:rFonts w:ascii="Arial" w:eastAsia="Times New Roman" w:hAnsi="Arial" w:cs="Arial"/>
          <w:bCs/>
          <w:sz w:val="20"/>
          <w:szCs w:val="20"/>
          <w:lang w:eastAsia="fr-FR"/>
        </w:rPr>
        <w:t>crise sanitaire</w:t>
      </w:r>
      <w:r>
        <w:rPr>
          <w:rFonts w:ascii="Arial" w:eastAsia="Times New Roman" w:hAnsi="Arial" w:cs="Arial"/>
          <w:bCs/>
          <w:sz w:val="20"/>
          <w:szCs w:val="20"/>
          <w:lang w:eastAsia="fr-FR"/>
        </w:rPr>
        <w:t xml:space="preserve"> et ses effets sur la situation personnelle et professionnelle </w:t>
      </w:r>
      <w:r w:rsidR="00822DEF">
        <w:rPr>
          <w:rFonts w:ascii="Arial" w:eastAsia="Times New Roman" w:hAnsi="Arial" w:cs="Arial"/>
          <w:bCs/>
          <w:sz w:val="20"/>
          <w:szCs w:val="20"/>
          <w:lang w:eastAsia="fr-FR"/>
        </w:rPr>
        <w:t xml:space="preserve">au profit </w:t>
      </w:r>
      <w:r w:rsidR="004C6F07">
        <w:rPr>
          <w:rFonts w:ascii="Arial" w:eastAsia="Times New Roman" w:hAnsi="Arial" w:cs="Arial"/>
          <w:bCs/>
          <w:sz w:val="20"/>
          <w:szCs w:val="20"/>
          <w:lang w:eastAsia="fr-FR"/>
        </w:rPr>
        <w:t xml:space="preserve">des </w:t>
      </w:r>
      <w:r w:rsidR="004C6F07" w:rsidRPr="00874E49">
        <w:rPr>
          <w:rFonts w:ascii="Arial" w:eastAsia="Times New Roman" w:hAnsi="Arial" w:cs="Arial"/>
          <w:bCs/>
          <w:sz w:val="20"/>
          <w:szCs w:val="20"/>
          <w:lang w:eastAsia="fr-FR"/>
        </w:rPr>
        <w:t>habitants de la commune</w:t>
      </w:r>
      <w:r w:rsidR="00822DEF" w:rsidRPr="00874E49">
        <w:rPr>
          <w:rFonts w:ascii="Arial" w:eastAsia="Times New Roman" w:hAnsi="Arial" w:cs="Arial"/>
          <w:bCs/>
          <w:sz w:val="20"/>
          <w:szCs w:val="20"/>
          <w:lang w:eastAsia="fr-FR"/>
        </w:rPr>
        <w:t xml:space="preserve"> </w:t>
      </w:r>
      <w:r w:rsidR="00F85D94" w:rsidRPr="00874E49">
        <w:rPr>
          <w:rFonts w:ascii="Arial" w:eastAsia="Times New Roman" w:hAnsi="Arial" w:cs="Arial"/>
          <w:bCs/>
          <w:sz w:val="20"/>
          <w:szCs w:val="20"/>
          <w:lang w:eastAsia="fr-FR"/>
        </w:rPr>
        <w:t>et au profit des agents de la ville, traduisant dans les faits l’appréciation portée sur l’importance du rôle des services publics en matière de cohésion sociale</w:t>
      </w:r>
      <w:r w:rsidR="00F619E9" w:rsidRPr="00874E49">
        <w:rPr>
          <w:rFonts w:ascii="Arial" w:eastAsia="Times New Roman" w:hAnsi="Arial" w:cs="Arial"/>
          <w:bCs/>
          <w:sz w:val="20"/>
          <w:szCs w:val="20"/>
          <w:lang w:eastAsia="fr-FR"/>
        </w:rPr>
        <w:t xml:space="preserve"> et de solidarité. </w:t>
      </w:r>
      <w:r w:rsidR="00F85D94" w:rsidRPr="00874E49">
        <w:rPr>
          <w:rFonts w:ascii="Arial" w:eastAsia="Times New Roman" w:hAnsi="Arial" w:cs="Arial"/>
          <w:bCs/>
          <w:sz w:val="20"/>
          <w:szCs w:val="20"/>
          <w:lang w:eastAsia="fr-FR"/>
        </w:rPr>
        <w:t xml:space="preserve"> </w:t>
      </w:r>
    </w:p>
    <w:p w14:paraId="420EED7E" w14:textId="77777777" w:rsidR="00865160" w:rsidRPr="00660C31" w:rsidRDefault="00865160" w:rsidP="00660C31">
      <w:pPr>
        <w:autoSpaceDE w:val="0"/>
        <w:autoSpaceDN w:val="0"/>
        <w:adjustRightInd w:val="0"/>
        <w:jc w:val="both"/>
        <w:rPr>
          <w:rFonts w:ascii="Arial" w:eastAsia="Times New Roman" w:hAnsi="Arial" w:cs="Arial"/>
          <w:bCs/>
          <w:sz w:val="20"/>
          <w:szCs w:val="20"/>
          <w:lang w:eastAsia="fr-FR"/>
        </w:rPr>
      </w:pPr>
    </w:p>
    <w:sectPr w:rsidR="00865160" w:rsidRPr="00660C31" w:rsidSect="005D283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DCE32" w14:textId="77777777" w:rsidR="00D27355" w:rsidRDefault="00D27355" w:rsidP="007B3BE1">
      <w:pPr>
        <w:spacing w:after="0" w:line="240" w:lineRule="auto"/>
      </w:pPr>
      <w:r>
        <w:separator/>
      </w:r>
    </w:p>
  </w:endnote>
  <w:endnote w:type="continuationSeparator" w:id="0">
    <w:p w14:paraId="3292B052" w14:textId="77777777" w:rsidR="00D27355" w:rsidRDefault="00D27355" w:rsidP="007B3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4">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3954"/>
      <w:docPartObj>
        <w:docPartGallery w:val="Page Numbers (Bottom of Page)"/>
        <w:docPartUnique/>
      </w:docPartObj>
    </w:sdtPr>
    <w:sdtEndPr>
      <w:rPr>
        <w:rFonts w:ascii="Arial Narrow" w:hAnsi="Arial Narrow"/>
      </w:rPr>
    </w:sdtEndPr>
    <w:sdtContent>
      <w:p w14:paraId="7DD18D76" w14:textId="77777777" w:rsidR="00D27355" w:rsidRDefault="00B32C6B">
        <w:pPr>
          <w:pStyle w:val="Pieddepage"/>
          <w:jc w:val="right"/>
        </w:pPr>
        <w:r w:rsidRPr="003D7800">
          <w:rPr>
            <w:rFonts w:ascii="Arial Narrow" w:hAnsi="Arial Narrow"/>
          </w:rPr>
          <w:fldChar w:fldCharType="begin"/>
        </w:r>
        <w:r w:rsidR="00D27355" w:rsidRPr="003D7800">
          <w:rPr>
            <w:rFonts w:ascii="Arial Narrow" w:hAnsi="Arial Narrow"/>
          </w:rPr>
          <w:instrText xml:space="preserve"> PAGE   \* MERGEFORMAT </w:instrText>
        </w:r>
        <w:r w:rsidRPr="003D7800">
          <w:rPr>
            <w:rFonts w:ascii="Arial Narrow" w:hAnsi="Arial Narrow"/>
          </w:rPr>
          <w:fldChar w:fldCharType="separate"/>
        </w:r>
        <w:r w:rsidR="00F1508F">
          <w:rPr>
            <w:rFonts w:ascii="Arial Narrow" w:hAnsi="Arial Narrow"/>
            <w:noProof/>
          </w:rPr>
          <w:t>18</w:t>
        </w:r>
        <w:r w:rsidRPr="003D7800">
          <w:rPr>
            <w:rFonts w:ascii="Arial Narrow" w:hAnsi="Arial Narrow"/>
          </w:rPr>
          <w:fldChar w:fldCharType="end"/>
        </w:r>
      </w:p>
    </w:sdtContent>
  </w:sdt>
  <w:p w14:paraId="6B2CE273" w14:textId="77777777" w:rsidR="00D27355" w:rsidRDefault="00D273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6B958" w14:textId="77777777" w:rsidR="00D27355" w:rsidRDefault="00D27355" w:rsidP="007B3BE1">
      <w:pPr>
        <w:spacing w:after="0" w:line="240" w:lineRule="auto"/>
      </w:pPr>
      <w:r>
        <w:separator/>
      </w:r>
    </w:p>
  </w:footnote>
  <w:footnote w:type="continuationSeparator" w:id="0">
    <w:p w14:paraId="785573BE" w14:textId="77777777" w:rsidR="00D27355" w:rsidRDefault="00D27355" w:rsidP="007B3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5B5"/>
    <w:multiLevelType w:val="hybridMultilevel"/>
    <w:tmpl w:val="8F2AD1BA"/>
    <w:lvl w:ilvl="0" w:tplc="2A34672C">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3C4390"/>
    <w:multiLevelType w:val="hybridMultilevel"/>
    <w:tmpl w:val="11A43750"/>
    <w:lvl w:ilvl="0" w:tplc="7FDEFDB0">
      <w:start w:val="2016"/>
      <w:numFmt w:val="bullet"/>
      <w:lvlText w:val=""/>
      <w:lvlJc w:val="left"/>
      <w:pPr>
        <w:ind w:left="720" w:hanging="360"/>
      </w:pPr>
      <w:rPr>
        <w:rFonts w:ascii="Symbol" w:eastAsiaTheme="minorHAnsi" w:hAnsi="Symbol" w:cs="CIDFont+F4"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77707E"/>
    <w:multiLevelType w:val="hybridMultilevel"/>
    <w:tmpl w:val="BDBED8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6D0FBA"/>
    <w:multiLevelType w:val="hybridMultilevel"/>
    <w:tmpl w:val="45A8A0FE"/>
    <w:lvl w:ilvl="0" w:tplc="047AF7F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D402C8"/>
    <w:multiLevelType w:val="multilevel"/>
    <w:tmpl w:val="D12E48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9B14FE"/>
    <w:multiLevelType w:val="multilevel"/>
    <w:tmpl w:val="0790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2B222B"/>
    <w:multiLevelType w:val="hybridMultilevel"/>
    <w:tmpl w:val="72664292"/>
    <w:lvl w:ilvl="0" w:tplc="E64EE5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5AC6FBF"/>
    <w:multiLevelType w:val="hybridMultilevel"/>
    <w:tmpl w:val="D0D88514"/>
    <w:lvl w:ilvl="0" w:tplc="CA2A2A7A">
      <w:start w:val="16"/>
      <w:numFmt w:val="bullet"/>
      <w:lvlText w:val="-"/>
      <w:lvlJc w:val="left"/>
      <w:pPr>
        <w:ind w:left="720" w:hanging="360"/>
      </w:pPr>
      <w:rPr>
        <w:rFonts w:ascii="Arial Narrow" w:eastAsia="Arial Unicode MS" w:hAnsi="Arial Narrow" w:cs="Arial Unicode MS" w:hint="default"/>
        <w:color w:val="9F28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2B477C"/>
    <w:multiLevelType w:val="hybridMultilevel"/>
    <w:tmpl w:val="52A85590"/>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9" w15:restartNumberingAfterBreak="0">
    <w:nsid w:val="5B744D37"/>
    <w:multiLevelType w:val="multilevel"/>
    <w:tmpl w:val="D576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1F1FA0"/>
    <w:multiLevelType w:val="hybridMultilevel"/>
    <w:tmpl w:val="9182C3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E32A87"/>
    <w:multiLevelType w:val="hybridMultilevel"/>
    <w:tmpl w:val="5B5C4FD0"/>
    <w:lvl w:ilvl="0" w:tplc="DC2641D0">
      <w:start w:val="53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E908ED"/>
    <w:multiLevelType w:val="hybridMultilevel"/>
    <w:tmpl w:val="EF1E1A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AC30548"/>
    <w:multiLevelType w:val="hybridMultilevel"/>
    <w:tmpl w:val="548CE2A0"/>
    <w:lvl w:ilvl="0" w:tplc="0AAE296A">
      <w:start w:val="51"/>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13"/>
  </w:num>
  <w:num w:numId="5">
    <w:abstractNumId w:val="1"/>
  </w:num>
  <w:num w:numId="6">
    <w:abstractNumId w:val="11"/>
  </w:num>
  <w:num w:numId="7">
    <w:abstractNumId w:val="8"/>
  </w:num>
  <w:num w:numId="8">
    <w:abstractNumId w:val="3"/>
  </w:num>
  <w:num w:numId="9">
    <w:abstractNumId w:val="0"/>
  </w:num>
  <w:num w:numId="10">
    <w:abstractNumId w:val="12"/>
  </w:num>
  <w:num w:numId="11">
    <w:abstractNumId w:val="10"/>
  </w:num>
  <w:num w:numId="12">
    <w:abstractNumId w:val="6"/>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2D28"/>
    <w:rsid w:val="000047B6"/>
    <w:rsid w:val="00004D8C"/>
    <w:rsid w:val="00005B43"/>
    <w:rsid w:val="00011D87"/>
    <w:rsid w:val="0001434F"/>
    <w:rsid w:val="000201F2"/>
    <w:rsid w:val="00021BDF"/>
    <w:rsid w:val="00022E2B"/>
    <w:rsid w:val="000236CE"/>
    <w:rsid w:val="000247A5"/>
    <w:rsid w:val="00027709"/>
    <w:rsid w:val="00030852"/>
    <w:rsid w:val="00033482"/>
    <w:rsid w:val="000345C7"/>
    <w:rsid w:val="00040428"/>
    <w:rsid w:val="000407FD"/>
    <w:rsid w:val="00043A11"/>
    <w:rsid w:val="00046B46"/>
    <w:rsid w:val="00046D24"/>
    <w:rsid w:val="00050F86"/>
    <w:rsid w:val="00055DC1"/>
    <w:rsid w:val="00057879"/>
    <w:rsid w:val="00057A58"/>
    <w:rsid w:val="00065409"/>
    <w:rsid w:val="000676FB"/>
    <w:rsid w:val="00070C6D"/>
    <w:rsid w:val="00072522"/>
    <w:rsid w:val="00081DE5"/>
    <w:rsid w:val="00082CE3"/>
    <w:rsid w:val="000849FE"/>
    <w:rsid w:val="0009117A"/>
    <w:rsid w:val="00093D38"/>
    <w:rsid w:val="000A4B4D"/>
    <w:rsid w:val="000A713D"/>
    <w:rsid w:val="000A7B33"/>
    <w:rsid w:val="000B44F1"/>
    <w:rsid w:val="000B5802"/>
    <w:rsid w:val="000B6ACD"/>
    <w:rsid w:val="000B6BB9"/>
    <w:rsid w:val="000C7D03"/>
    <w:rsid w:val="000D0D71"/>
    <w:rsid w:val="000D3AB4"/>
    <w:rsid w:val="000D3D45"/>
    <w:rsid w:val="000E1D78"/>
    <w:rsid w:val="000E4068"/>
    <w:rsid w:val="000E5953"/>
    <w:rsid w:val="000E6E42"/>
    <w:rsid w:val="000F022C"/>
    <w:rsid w:val="000F0B85"/>
    <w:rsid w:val="000F2DC9"/>
    <w:rsid w:val="000F2FB0"/>
    <w:rsid w:val="000F3F70"/>
    <w:rsid w:val="000F4252"/>
    <w:rsid w:val="000F4BAA"/>
    <w:rsid w:val="00100A39"/>
    <w:rsid w:val="001010B4"/>
    <w:rsid w:val="001024E6"/>
    <w:rsid w:val="0010254B"/>
    <w:rsid w:val="001034AE"/>
    <w:rsid w:val="00105C51"/>
    <w:rsid w:val="0010684A"/>
    <w:rsid w:val="00106F33"/>
    <w:rsid w:val="00107B22"/>
    <w:rsid w:val="0011045B"/>
    <w:rsid w:val="00111778"/>
    <w:rsid w:val="00112375"/>
    <w:rsid w:val="00114AC9"/>
    <w:rsid w:val="001206F4"/>
    <w:rsid w:val="00120C64"/>
    <w:rsid w:val="001220C6"/>
    <w:rsid w:val="0012303C"/>
    <w:rsid w:val="00124632"/>
    <w:rsid w:val="0012533A"/>
    <w:rsid w:val="00133AE4"/>
    <w:rsid w:val="001415D1"/>
    <w:rsid w:val="00144778"/>
    <w:rsid w:val="001508B8"/>
    <w:rsid w:val="0015177F"/>
    <w:rsid w:val="001632D7"/>
    <w:rsid w:val="001675E1"/>
    <w:rsid w:val="0017259B"/>
    <w:rsid w:val="00172EA2"/>
    <w:rsid w:val="001730F7"/>
    <w:rsid w:val="0017357A"/>
    <w:rsid w:val="00174A63"/>
    <w:rsid w:val="00182B02"/>
    <w:rsid w:val="00183141"/>
    <w:rsid w:val="001839CE"/>
    <w:rsid w:val="00183BE2"/>
    <w:rsid w:val="00192791"/>
    <w:rsid w:val="00192CFE"/>
    <w:rsid w:val="00193F77"/>
    <w:rsid w:val="001A344B"/>
    <w:rsid w:val="001A5A2C"/>
    <w:rsid w:val="001A6EF9"/>
    <w:rsid w:val="001B34B3"/>
    <w:rsid w:val="001B4387"/>
    <w:rsid w:val="001B683B"/>
    <w:rsid w:val="001C05E8"/>
    <w:rsid w:val="001C29C7"/>
    <w:rsid w:val="001C3AD0"/>
    <w:rsid w:val="001C701A"/>
    <w:rsid w:val="001C778B"/>
    <w:rsid w:val="001D2ADA"/>
    <w:rsid w:val="001D5AB0"/>
    <w:rsid w:val="001D6B59"/>
    <w:rsid w:val="001D6DF6"/>
    <w:rsid w:val="001D770B"/>
    <w:rsid w:val="001E01ED"/>
    <w:rsid w:val="001E29B7"/>
    <w:rsid w:val="001E594C"/>
    <w:rsid w:val="001E7B69"/>
    <w:rsid w:val="001F0570"/>
    <w:rsid w:val="001F06D8"/>
    <w:rsid w:val="001F5F4F"/>
    <w:rsid w:val="00200FAC"/>
    <w:rsid w:val="00201BA3"/>
    <w:rsid w:val="0020262D"/>
    <w:rsid w:val="00202BE6"/>
    <w:rsid w:val="00202C28"/>
    <w:rsid w:val="00206194"/>
    <w:rsid w:val="00211BB2"/>
    <w:rsid w:val="00216F65"/>
    <w:rsid w:val="00220D50"/>
    <w:rsid w:val="00234BEE"/>
    <w:rsid w:val="00237ECA"/>
    <w:rsid w:val="0024730F"/>
    <w:rsid w:val="0025059A"/>
    <w:rsid w:val="00250B18"/>
    <w:rsid w:val="00252DAA"/>
    <w:rsid w:val="00257D2E"/>
    <w:rsid w:val="00260DEC"/>
    <w:rsid w:val="00270217"/>
    <w:rsid w:val="00271491"/>
    <w:rsid w:val="00272C13"/>
    <w:rsid w:val="00275251"/>
    <w:rsid w:val="00275BED"/>
    <w:rsid w:val="00276164"/>
    <w:rsid w:val="00284A25"/>
    <w:rsid w:val="00286875"/>
    <w:rsid w:val="00286A94"/>
    <w:rsid w:val="002905DB"/>
    <w:rsid w:val="0029260F"/>
    <w:rsid w:val="00292B2B"/>
    <w:rsid w:val="00292D10"/>
    <w:rsid w:val="002932F8"/>
    <w:rsid w:val="002A16C7"/>
    <w:rsid w:val="002A2F2C"/>
    <w:rsid w:val="002A3723"/>
    <w:rsid w:val="002A3E42"/>
    <w:rsid w:val="002A4C1E"/>
    <w:rsid w:val="002A5392"/>
    <w:rsid w:val="002B4D3A"/>
    <w:rsid w:val="002C48B8"/>
    <w:rsid w:val="002C5097"/>
    <w:rsid w:val="002D0E71"/>
    <w:rsid w:val="002D24BA"/>
    <w:rsid w:val="002D38B9"/>
    <w:rsid w:val="002D68A8"/>
    <w:rsid w:val="002E4F15"/>
    <w:rsid w:val="002E5E82"/>
    <w:rsid w:val="002E75EA"/>
    <w:rsid w:val="003011F6"/>
    <w:rsid w:val="003054DD"/>
    <w:rsid w:val="0031018B"/>
    <w:rsid w:val="00310E4A"/>
    <w:rsid w:val="0031331B"/>
    <w:rsid w:val="0031743F"/>
    <w:rsid w:val="003202D3"/>
    <w:rsid w:val="00321362"/>
    <w:rsid w:val="003224D8"/>
    <w:rsid w:val="0032307A"/>
    <w:rsid w:val="0032507D"/>
    <w:rsid w:val="003319FC"/>
    <w:rsid w:val="0033635E"/>
    <w:rsid w:val="00336F10"/>
    <w:rsid w:val="0034035B"/>
    <w:rsid w:val="003411A2"/>
    <w:rsid w:val="003411CA"/>
    <w:rsid w:val="00341501"/>
    <w:rsid w:val="003448E5"/>
    <w:rsid w:val="00354F49"/>
    <w:rsid w:val="00355399"/>
    <w:rsid w:val="0036190B"/>
    <w:rsid w:val="00362C4D"/>
    <w:rsid w:val="003638B1"/>
    <w:rsid w:val="00364F67"/>
    <w:rsid w:val="003662AF"/>
    <w:rsid w:val="00375498"/>
    <w:rsid w:val="00375815"/>
    <w:rsid w:val="00377B5F"/>
    <w:rsid w:val="00377C8B"/>
    <w:rsid w:val="00390289"/>
    <w:rsid w:val="003928E6"/>
    <w:rsid w:val="003975E7"/>
    <w:rsid w:val="003A17CC"/>
    <w:rsid w:val="003B2259"/>
    <w:rsid w:val="003B254A"/>
    <w:rsid w:val="003B28BC"/>
    <w:rsid w:val="003B3AED"/>
    <w:rsid w:val="003B4739"/>
    <w:rsid w:val="003B5974"/>
    <w:rsid w:val="003C3C55"/>
    <w:rsid w:val="003C41B2"/>
    <w:rsid w:val="003D1D12"/>
    <w:rsid w:val="003D2FF3"/>
    <w:rsid w:val="003D7800"/>
    <w:rsid w:val="003E0FE8"/>
    <w:rsid w:val="003E4244"/>
    <w:rsid w:val="003E45A3"/>
    <w:rsid w:val="003E4CEE"/>
    <w:rsid w:val="003E5345"/>
    <w:rsid w:val="003F1C7D"/>
    <w:rsid w:val="003F5089"/>
    <w:rsid w:val="003F5E93"/>
    <w:rsid w:val="003F69C8"/>
    <w:rsid w:val="003F6F54"/>
    <w:rsid w:val="00400E7A"/>
    <w:rsid w:val="00403A60"/>
    <w:rsid w:val="00405635"/>
    <w:rsid w:val="00420E0F"/>
    <w:rsid w:val="00421716"/>
    <w:rsid w:val="00422D3C"/>
    <w:rsid w:val="00423D0B"/>
    <w:rsid w:val="00424EC6"/>
    <w:rsid w:val="004277ED"/>
    <w:rsid w:val="00430207"/>
    <w:rsid w:val="00431AC6"/>
    <w:rsid w:val="00440378"/>
    <w:rsid w:val="00441209"/>
    <w:rsid w:val="0044332F"/>
    <w:rsid w:val="00452875"/>
    <w:rsid w:val="00456D76"/>
    <w:rsid w:val="00460A42"/>
    <w:rsid w:val="00460B6F"/>
    <w:rsid w:val="00461486"/>
    <w:rsid w:val="00462D9F"/>
    <w:rsid w:val="004635EC"/>
    <w:rsid w:val="00466AE7"/>
    <w:rsid w:val="00482B8F"/>
    <w:rsid w:val="00484BD1"/>
    <w:rsid w:val="00486625"/>
    <w:rsid w:val="00486D01"/>
    <w:rsid w:val="0049008C"/>
    <w:rsid w:val="00491D10"/>
    <w:rsid w:val="0049359F"/>
    <w:rsid w:val="004962D0"/>
    <w:rsid w:val="0049637F"/>
    <w:rsid w:val="00496B64"/>
    <w:rsid w:val="004A039A"/>
    <w:rsid w:val="004A75E7"/>
    <w:rsid w:val="004B316F"/>
    <w:rsid w:val="004B6D15"/>
    <w:rsid w:val="004C6F07"/>
    <w:rsid w:val="004D06A6"/>
    <w:rsid w:val="004E2435"/>
    <w:rsid w:val="004E2532"/>
    <w:rsid w:val="004E51C4"/>
    <w:rsid w:val="004E5DD7"/>
    <w:rsid w:val="004F07A7"/>
    <w:rsid w:val="004F09F8"/>
    <w:rsid w:val="004F10BB"/>
    <w:rsid w:val="004F178B"/>
    <w:rsid w:val="004F37BA"/>
    <w:rsid w:val="004F4667"/>
    <w:rsid w:val="004F605F"/>
    <w:rsid w:val="004F6BE1"/>
    <w:rsid w:val="004F75FB"/>
    <w:rsid w:val="004F77F8"/>
    <w:rsid w:val="005009FA"/>
    <w:rsid w:val="00501A2E"/>
    <w:rsid w:val="005031E0"/>
    <w:rsid w:val="00512A8C"/>
    <w:rsid w:val="00514BE3"/>
    <w:rsid w:val="00515A17"/>
    <w:rsid w:val="00517D70"/>
    <w:rsid w:val="00523370"/>
    <w:rsid w:val="005237E0"/>
    <w:rsid w:val="005274F6"/>
    <w:rsid w:val="00530C22"/>
    <w:rsid w:val="00536561"/>
    <w:rsid w:val="005375C5"/>
    <w:rsid w:val="005404D6"/>
    <w:rsid w:val="00542C41"/>
    <w:rsid w:val="00553193"/>
    <w:rsid w:val="00553CC7"/>
    <w:rsid w:val="005567F3"/>
    <w:rsid w:val="00556C43"/>
    <w:rsid w:val="0055779C"/>
    <w:rsid w:val="00560208"/>
    <w:rsid w:val="005668EB"/>
    <w:rsid w:val="00571FE1"/>
    <w:rsid w:val="00572E5E"/>
    <w:rsid w:val="00575232"/>
    <w:rsid w:val="00576102"/>
    <w:rsid w:val="00577D68"/>
    <w:rsid w:val="00580C8B"/>
    <w:rsid w:val="00582805"/>
    <w:rsid w:val="00584831"/>
    <w:rsid w:val="0059283C"/>
    <w:rsid w:val="00594499"/>
    <w:rsid w:val="00595087"/>
    <w:rsid w:val="00595A28"/>
    <w:rsid w:val="00597F1D"/>
    <w:rsid w:val="005A00E6"/>
    <w:rsid w:val="005A34CD"/>
    <w:rsid w:val="005A6FF9"/>
    <w:rsid w:val="005B7C04"/>
    <w:rsid w:val="005C175B"/>
    <w:rsid w:val="005D1E5F"/>
    <w:rsid w:val="005D2831"/>
    <w:rsid w:val="005D3764"/>
    <w:rsid w:val="005E3B2E"/>
    <w:rsid w:val="005E5531"/>
    <w:rsid w:val="005F5750"/>
    <w:rsid w:val="005F70ED"/>
    <w:rsid w:val="00600665"/>
    <w:rsid w:val="006022D8"/>
    <w:rsid w:val="00610825"/>
    <w:rsid w:val="00610CAC"/>
    <w:rsid w:val="006111F1"/>
    <w:rsid w:val="006141B2"/>
    <w:rsid w:val="00615011"/>
    <w:rsid w:val="0062089F"/>
    <w:rsid w:val="0062102D"/>
    <w:rsid w:val="0062398D"/>
    <w:rsid w:val="00624769"/>
    <w:rsid w:val="00626263"/>
    <w:rsid w:val="00634629"/>
    <w:rsid w:val="0063493E"/>
    <w:rsid w:val="006418E8"/>
    <w:rsid w:val="00643923"/>
    <w:rsid w:val="00643A34"/>
    <w:rsid w:val="00643DD5"/>
    <w:rsid w:val="0064615D"/>
    <w:rsid w:val="006461F0"/>
    <w:rsid w:val="00652472"/>
    <w:rsid w:val="00653A86"/>
    <w:rsid w:val="006546CA"/>
    <w:rsid w:val="00654D43"/>
    <w:rsid w:val="00660C31"/>
    <w:rsid w:val="006645A9"/>
    <w:rsid w:val="00665960"/>
    <w:rsid w:val="00677090"/>
    <w:rsid w:val="00677B2D"/>
    <w:rsid w:val="006803A3"/>
    <w:rsid w:val="006808C1"/>
    <w:rsid w:val="00680BD5"/>
    <w:rsid w:val="00685B0E"/>
    <w:rsid w:val="00687D6C"/>
    <w:rsid w:val="006943C1"/>
    <w:rsid w:val="006950B0"/>
    <w:rsid w:val="006953D9"/>
    <w:rsid w:val="006B03F6"/>
    <w:rsid w:val="006B12AF"/>
    <w:rsid w:val="006B2142"/>
    <w:rsid w:val="006B5995"/>
    <w:rsid w:val="006C43C3"/>
    <w:rsid w:val="006C5921"/>
    <w:rsid w:val="006D0CD9"/>
    <w:rsid w:val="006D0F33"/>
    <w:rsid w:val="006D29FE"/>
    <w:rsid w:val="006D2D28"/>
    <w:rsid w:val="006D310B"/>
    <w:rsid w:val="006D4A72"/>
    <w:rsid w:val="006D5641"/>
    <w:rsid w:val="006D5D91"/>
    <w:rsid w:val="006E0AC5"/>
    <w:rsid w:val="006E240C"/>
    <w:rsid w:val="006E5675"/>
    <w:rsid w:val="006E5998"/>
    <w:rsid w:val="006E5A4F"/>
    <w:rsid w:val="006F3B16"/>
    <w:rsid w:val="00703AFD"/>
    <w:rsid w:val="00711786"/>
    <w:rsid w:val="00711D13"/>
    <w:rsid w:val="007129AB"/>
    <w:rsid w:val="00714DA7"/>
    <w:rsid w:val="007159B9"/>
    <w:rsid w:val="00726C57"/>
    <w:rsid w:val="00732753"/>
    <w:rsid w:val="007334EE"/>
    <w:rsid w:val="00735ACA"/>
    <w:rsid w:val="007364E0"/>
    <w:rsid w:val="00737FC3"/>
    <w:rsid w:val="00740A46"/>
    <w:rsid w:val="00740BE1"/>
    <w:rsid w:val="00740D5F"/>
    <w:rsid w:val="00740FF8"/>
    <w:rsid w:val="0074404D"/>
    <w:rsid w:val="00752485"/>
    <w:rsid w:val="00754585"/>
    <w:rsid w:val="007577B5"/>
    <w:rsid w:val="00761F64"/>
    <w:rsid w:val="00762FB2"/>
    <w:rsid w:val="0076466C"/>
    <w:rsid w:val="00766EE3"/>
    <w:rsid w:val="0077332C"/>
    <w:rsid w:val="00775827"/>
    <w:rsid w:val="007759DA"/>
    <w:rsid w:val="00776734"/>
    <w:rsid w:val="00780B08"/>
    <w:rsid w:val="00782C42"/>
    <w:rsid w:val="0078409C"/>
    <w:rsid w:val="007866CC"/>
    <w:rsid w:val="00790ADA"/>
    <w:rsid w:val="007934A1"/>
    <w:rsid w:val="00793733"/>
    <w:rsid w:val="00795AB9"/>
    <w:rsid w:val="00796DDC"/>
    <w:rsid w:val="007A1EDB"/>
    <w:rsid w:val="007A2CAD"/>
    <w:rsid w:val="007A330D"/>
    <w:rsid w:val="007A495E"/>
    <w:rsid w:val="007B02E0"/>
    <w:rsid w:val="007B0DF3"/>
    <w:rsid w:val="007B3BE1"/>
    <w:rsid w:val="007C2192"/>
    <w:rsid w:val="007C2B17"/>
    <w:rsid w:val="007C4526"/>
    <w:rsid w:val="007C502B"/>
    <w:rsid w:val="007D37D2"/>
    <w:rsid w:val="007D3E2C"/>
    <w:rsid w:val="007D4F12"/>
    <w:rsid w:val="007E03E6"/>
    <w:rsid w:val="007E454A"/>
    <w:rsid w:val="007E46A3"/>
    <w:rsid w:val="007E541D"/>
    <w:rsid w:val="007E5937"/>
    <w:rsid w:val="007E6B8A"/>
    <w:rsid w:val="007F0986"/>
    <w:rsid w:val="007F4FE9"/>
    <w:rsid w:val="008008DA"/>
    <w:rsid w:val="00800A29"/>
    <w:rsid w:val="00800B99"/>
    <w:rsid w:val="008012AD"/>
    <w:rsid w:val="00803605"/>
    <w:rsid w:val="00811E24"/>
    <w:rsid w:val="0081306D"/>
    <w:rsid w:val="008148E8"/>
    <w:rsid w:val="00822DEF"/>
    <w:rsid w:val="008239F5"/>
    <w:rsid w:val="00824DA3"/>
    <w:rsid w:val="00831353"/>
    <w:rsid w:val="00831F5D"/>
    <w:rsid w:val="008363D4"/>
    <w:rsid w:val="00836F65"/>
    <w:rsid w:val="0084510A"/>
    <w:rsid w:val="00845D68"/>
    <w:rsid w:val="00847D57"/>
    <w:rsid w:val="00850D4C"/>
    <w:rsid w:val="00855D98"/>
    <w:rsid w:val="00862A83"/>
    <w:rsid w:val="00863144"/>
    <w:rsid w:val="00864B89"/>
    <w:rsid w:val="00865160"/>
    <w:rsid w:val="008721C0"/>
    <w:rsid w:val="00873AB3"/>
    <w:rsid w:val="00874E47"/>
    <w:rsid w:val="00874E49"/>
    <w:rsid w:val="00875A23"/>
    <w:rsid w:val="008831B4"/>
    <w:rsid w:val="00884B89"/>
    <w:rsid w:val="008970B7"/>
    <w:rsid w:val="008A0962"/>
    <w:rsid w:val="008A1AF9"/>
    <w:rsid w:val="008A6C48"/>
    <w:rsid w:val="008B77DB"/>
    <w:rsid w:val="008C1233"/>
    <w:rsid w:val="008C12D2"/>
    <w:rsid w:val="008C559E"/>
    <w:rsid w:val="008C7A64"/>
    <w:rsid w:val="008D0288"/>
    <w:rsid w:val="008D1062"/>
    <w:rsid w:val="008D1615"/>
    <w:rsid w:val="008D3273"/>
    <w:rsid w:val="008D41DE"/>
    <w:rsid w:val="008D4CA0"/>
    <w:rsid w:val="008E1795"/>
    <w:rsid w:val="008E2DE6"/>
    <w:rsid w:val="008E6A3A"/>
    <w:rsid w:val="008E7449"/>
    <w:rsid w:val="008F120E"/>
    <w:rsid w:val="008F1B99"/>
    <w:rsid w:val="008F5557"/>
    <w:rsid w:val="008F6A99"/>
    <w:rsid w:val="009027C1"/>
    <w:rsid w:val="00904108"/>
    <w:rsid w:val="00905299"/>
    <w:rsid w:val="0090580D"/>
    <w:rsid w:val="00906555"/>
    <w:rsid w:val="00907ED5"/>
    <w:rsid w:val="009102D1"/>
    <w:rsid w:val="00910A62"/>
    <w:rsid w:val="00910F18"/>
    <w:rsid w:val="00913410"/>
    <w:rsid w:val="00915E9E"/>
    <w:rsid w:val="009165B8"/>
    <w:rsid w:val="009241A8"/>
    <w:rsid w:val="00924900"/>
    <w:rsid w:val="00925AE8"/>
    <w:rsid w:val="009261B6"/>
    <w:rsid w:val="009306E8"/>
    <w:rsid w:val="00931025"/>
    <w:rsid w:val="00940785"/>
    <w:rsid w:val="009409A8"/>
    <w:rsid w:val="00941631"/>
    <w:rsid w:val="0094532F"/>
    <w:rsid w:val="009466EE"/>
    <w:rsid w:val="00946C5D"/>
    <w:rsid w:val="0095424E"/>
    <w:rsid w:val="00954714"/>
    <w:rsid w:val="00955804"/>
    <w:rsid w:val="009576E0"/>
    <w:rsid w:val="00962289"/>
    <w:rsid w:val="00962B20"/>
    <w:rsid w:val="0097020F"/>
    <w:rsid w:val="0097076B"/>
    <w:rsid w:val="00971959"/>
    <w:rsid w:val="00973EC4"/>
    <w:rsid w:val="0098116E"/>
    <w:rsid w:val="009828B4"/>
    <w:rsid w:val="00987FC0"/>
    <w:rsid w:val="009939A9"/>
    <w:rsid w:val="009961CF"/>
    <w:rsid w:val="00996865"/>
    <w:rsid w:val="009A06B5"/>
    <w:rsid w:val="009A0EB1"/>
    <w:rsid w:val="009A3AD0"/>
    <w:rsid w:val="009B0312"/>
    <w:rsid w:val="009B23D3"/>
    <w:rsid w:val="009B2D94"/>
    <w:rsid w:val="009B2DE7"/>
    <w:rsid w:val="009B40D6"/>
    <w:rsid w:val="009B5F08"/>
    <w:rsid w:val="009B6D2D"/>
    <w:rsid w:val="009C2744"/>
    <w:rsid w:val="009C3E4C"/>
    <w:rsid w:val="009C60B3"/>
    <w:rsid w:val="009C6463"/>
    <w:rsid w:val="009C7FA9"/>
    <w:rsid w:val="009D2619"/>
    <w:rsid w:val="009D4FDB"/>
    <w:rsid w:val="009D6A17"/>
    <w:rsid w:val="009D7D97"/>
    <w:rsid w:val="009E0154"/>
    <w:rsid w:val="009E19D3"/>
    <w:rsid w:val="009E2D24"/>
    <w:rsid w:val="009E42F3"/>
    <w:rsid w:val="009E7EC7"/>
    <w:rsid w:val="009F6E3E"/>
    <w:rsid w:val="00A017C4"/>
    <w:rsid w:val="00A01EE3"/>
    <w:rsid w:val="00A02A8A"/>
    <w:rsid w:val="00A21A3C"/>
    <w:rsid w:val="00A22F08"/>
    <w:rsid w:val="00A22FBF"/>
    <w:rsid w:val="00A2315C"/>
    <w:rsid w:val="00A25CD0"/>
    <w:rsid w:val="00A2623E"/>
    <w:rsid w:val="00A3105D"/>
    <w:rsid w:val="00A31C02"/>
    <w:rsid w:val="00A365B0"/>
    <w:rsid w:val="00A37394"/>
    <w:rsid w:val="00A41696"/>
    <w:rsid w:val="00A417B1"/>
    <w:rsid w:val="00A466D9"/>
    <w:rsid w:val="00A46A29"/>
    <w:rsid w:val="00A51CAF"/>
    <w:rsid w:val="00A51F6D"/>
    <w:rsid w:val="00A52AF3"/>
    <w:rsid w:val="00A54C00"/>
    <w:rsid w:val="00A60996"/>
    <w:rsid w:val="00A626D4"/>
    <w:rsid w:val="00A650BD"/>
    <w:rsid w:val="00A653FB"/>
    <w:rsid w:val="00A668B5"/>
    <w:rsid w:val="00A76B51"/>
    <w:rsid w:val="00A84C8A"/>
    <w:rsid w:val="00A8724C"/>
    <w:rsid w:val="00A9423C"/>
    <w:rsid w:val="00A9721C"/>
    <w:rsid w:val="00AA6316"/>
    <w:rsid w:val="00AB00E0"/>
    <w:rsid w:val="00AB3455"/>
    <w:rsid w:val="00AB35CF"/>
    <w:rsid w:val="00AB6935"/>
    <w:rsid w:val="00AB6AAB"/>
    <w:rsid w:val="00AC08D2"/>
    <w:rsid w:val="00AC1587"/>
    <w:rsid w:val="00AC3F6C"/>
    <w:rsid w:val="00AC6ADF"/>
    <w:rsid w:val="00AC6C7C"/>
    <w:rsid w:val="00AC7791"/>
    <w:rsid w:val="00AC7CCF"/>
    <w:rsid w:val="00AD67DC"/>
    <w:rsid w:val="00AE6CD2"/>
    <w:rsid w:val="00AF4533"/>
    <w:rsid w:val="00AF5433"/>
    <w:rsid w:val="00B01058"/>
    <w:rsid w:val="00B061CF"/>
    <w:rsid w:val="00B103F9"/>
    <w:rsid w:val="00B107FC"/>
    <w:rsid w:val="00B13102"/>
    <w:rsid w:val="00B2114C"/>
    <w:rsid w:val="00B22FEB"/>
    <w:rsid w:val="00B32C6B"/>
    <w:rsid w:val="00B3575E"/>
    <w:rsid w:val="00B36CF7"/>
    <w:rsid w:val="00B36D8A"/>
    <w:rsid w:val="00B407AB"/>
    <w:rsid w:val="00B477C7"/>
    <w:rsid w:val="00B56274"/>
    <w:rsid w:val="00B56DE6"/>
    <w:rsid w:val="00B616F7"/>
    <w:rsid w:val="00B6224E"/>
    <w:rsid w:val="00B65474"/>
    <w:rsid w:val="00B71B1B"/>
    <w:rsid w:val="00B72343"/>
    <w:rsid w:val="00B72848"/>
    <w:rsid w:val="00B860B9"/>
    <w:rsid w:val="00B9402F"/>
    <w:rsid w:val="00B96635"/>
    <w:rsid w:val="00B96B94"/>
    <w:rsid w:val="00B97148"/>
    <w:rsid w:val="00BA0FC4"/>
    <w:rsid w:val="00BA2A78"/>
    <w:rsid w:val="00BA6BEF"/>
    <w:rsid w:val="00BA6ED2"/>
    <w:rsid w:val="00BB1145"/>
    <w:rsid w:val="00BB1B99"/>
    <w:rsid w:val="00BB4D5B"/>
    <w:rsid w:val="00BC201A"/>
    <w:rsid w:val="00BC3E5A"/>
    <w:rsid w:val="00BC50C0"/>
    <w:rsid w:val="00BD1ED5"/>
    <w:rsid w:val="00BD24DF"/>
    <w:rsid w:val="00BE0CA7"/>
    <w:rsid w:val="00BE0EF4"/>
    <w:rsid w:val="00BE2F1F"/>
    <w:rsid w:val="00BE4553"/>
    <w:rsid w:val="00BE739F"/>
    <w:rsid w:val="00BE7FAC"/>
    <w:rsid w:val="00BF6913"/>
    <w:rsid w:val="00C044A8"/>
    <w:rsid w:val="00C128C6"/>
    <w:rsid w:val="00C17830"/>
    <w:rsid w:val="00C20B98"/>
    <w:rsid w:val="00C230BE"/>
    <w:rsid w:val="00C23339"/>
    <w:rsid w:val="00C23E65"/>
    <w:rsid w:val="00C32639"/>
    <w:rsid w:val="00C374FF"/>
    <w:rsid w:val="00C3780B"/>
    <w:rsid w:val="00C40DB2"/>
    <w:rsid w:val="00C4298C"/>
    <w:rsid w:val="00C42AB8"/>
    <w:rsid w:val="00C46CA8"/>
    <w:rsid w:val="00C47FAE"/>
    <w:rsid w:val="00C515A1"/>
    <w:rsid w:val="00C55095"/>
    <w:rsid w:val="00C55264"/>
    <w:rsid w:val="00C6009B"/>
    <w:rsid w:val="00C63CCE"/>
    <w:rsid w:val="00C64507"/>
    <w:rsid w:val="00C651EA"/>
    <w:rsid w:val="00C66596"/>
    <w:rsid w:val="00C672CF"/>
    <w:rsid w:val="00C67EC2"/>
    <w:rsid w:val="00C71A6E"/>
    <w:rsid w:val="00C75FA7"/>
    <w:rsid w:val="00C77985"/>
    <w:rsid w:val="00C8696D"/>
    <w:rsid w:val="00C86DE7"/>
    <w:rsid w:val="00C9368F"/>
    <w:rsid w:val="00C9565E"/>
    <w:rsid w:val="00C97709"/>
    <w:rsid w:val="00CA28F5"/>
    <w:rsid w:val="00CA4A26"/>
    <w:rsid w:val="00CB041F"/>
    <w:rsid w:val="00CB1846"/>
    <w:rsid w:val="00CC05E4"/>
    <w:rsid w:val="00CD11AB"/>
    <w:rsid w:val="00CE209A"/>
    <w:rsid w:val="00CE2DBC"/>
    <w:rsid w:val="00CE720E"/>
    <w:rsid w:val="00CE7499"/>
    <w:rsid w:val="00CF0C78"/>
    <w:rsid w:val="00CF22B9"/>
    <w:rsid w:val="00CF2999"/>
    <w:rsid w:val="00CF3D12"/>
    <w:rsid w:val="00CF43F9"/>
    <w:rsid w:val="00CF4A4B"/>
    <w:rsid w:val="00CF5AAB"/>
    <w:rsid w:val="00CF7664"/>
    <w:rsid w:val="00D009A8"/>
    <w:rsid w:val="00D009C0"/>
    <w:rsid w:val="00D20234"/>
    <w:rsid w:val="00D20AB7"/>
    <w:rsid w:val="00D2116E"/>
    <w:rsid w:val="00D22D3E"/>
    <w:rsid w:val="00D230F5"/>
    <w:rsid w:val="00D23A9A"/>
    <w:rsid w:val="00D23C3C"/>
    <w:rsid w:val="00D2464D"/>
    <w:rsid w:val="00D24701"/>
    <w:rsid w:val="00D27355"/>
    <w:rsid w:val="00D30261"/>
    <w:rsid w:val="00D30D4E"/>
    <w:rsid w:val="00D325CA"/>
    <w:rsid w:val="00D35063"/>
    <w:rsid w:val="00D35D7D"/>
    <w:rsid w:val="00D40A3C"/>
    <w:rsid w:val="00D419D2"/>
    <w:rsid w:val="00D42184"/>
    <w:rsid w:val="00D4518A"/>
    <w:rsid w:val="00D46C54"/>
    <w:rsid w:val="00D502AC"/>
    <w:rsid w:val="00D55337"/>
    <w:rsid w:val="00D56E75"/>
    <w:rsid w:val="00D57D03"/>
    <w:rsid w:val="00D62971"/>
    <w:rsid w:val="00D6663E"/>
    <w:rsid w:val="00D67ADB"/>
    <w:rsid w:val="00D75944"/>
    <w:rsid w:val="00D766DD"/>
    <w:rsid w:val="00D80D47"/>
    <w:rsid w:val="00D8683F"/>
    <w:rsid w:val="00D90773"/>
    <w:rsid w:val="00D97B7B"/>
    <w:rsid w:val="00DA088F"/>
    <w:rsid w:val="00DA2BE5"/>
    <w:rsid w:val="00DA38A9"/>
    <w:rsid w:val="00DA67D3"/>
    <w:rsid w:val="00DA697E"/>
    <w:rsid w:val="00DA6F97"/>
    <w:rsid w:val="00DB0ADE"/>
    <w:rsid w:val="00DD0B88"/>
    <w:rsid w:val="00DD2658"/>
    <w:rsid w:val="00DD2A2E"/>
    <w:rsid w:val="00DD41B9"/>
    <w:rsid w:val="00DD43FB"/>
    <w:rsid w:val="00DD52CB"/>
    <w:rsid w:val="00DE0E1A"/>
    <w:rsid w:val="00DE1CD2"/>
    <w:rsid w:val="00DF189C"/>
    <w:rsid w:val="00DF22FE"/>
    <w:rsid w:val="00DF5179"/>
    <w:rsid w:val="00E017B2"/>
    <w:rsid w:val="00E026CC"/>
    <w:rsid w:val="00E0379A"/>
    <w:rsid w:val="00E0420A"/>
    <w:rsid w:val="00E102CE"/>
    <w:rsid w:val="00E120FC"/>
    <w:rsid w:val="00E125B0"/>
    <w:rsid w:val="00E2469C"/>
    <w:rsid w:val="00E27429"/>
    <w:rsid w:val="00E35782"/>
    <w:rsid w:val="00E35EDC"/>
    <w:rsid w:val="00E3658F"/>
    <w:rsid w:val="00E377D8"/>
    <w:rsid w:val="00E42FF3"/>
    <w:rsid w:val="00E46524"/>
    <w:rsid w:val="00E512BC"/>
    <w:rsid w:val="00E56DC1"/>
    <w:rsid w:val="00E56E2A"/>
    <w:rsid w:val="00E57C92"/>
    <w:rsid w:val="00E6146B"/>
    <w:rsid w:val="00E63AA0"/>
    <w:rsid w:val="00E6554D"/>
    <w:rsid w:val="00E70989"/>
    <w:rsid w:val="00E77D8D"/>
    <w:rsid w:val="00E80862"/>
    <w:rsid w:val="00E81694"/>
    <w:rsid w:val="00E943BF"/>
    <w:rsid w:val="00E97E41"/>
    <w:rsid w:val="00EA05CA"/>
    <w:rsid w:val="00EA2920"/>
    <w:rsid w:val="00EA3115"/>
    <w:rsid w:val="00EA6700"/>
    <w:rsid w:val="00EB3B08"/>
    <w:rsid w:val="00EB54E7"/>
    <w:rsid w:val="00EB76FC"/>
    <w:rsid w:val="00EB772D"/>
    <w:rsid w:val="00EB7CB2"/>
    <w:rsid w:val="00EC0792"/>
    <w:rsid w:val="00EC56FE"/>
    <w:rsid w:val="00EC5A96"/>
    <w:rsid w:val="00ED2906"/>
    <w:rsid w:val="00ED55B2"/>
    <w:rsid w:val="00ED6703"/>
    <w:rsid w:val="00ED6958"/>
    <w:rsid w:val="00EE600A"/>
    <w:rsid w:val="00EE6C59"/>
    <w:rsid w:val="00EF69A5"/>
    <w:rsid w:val="00EF6DDA"/>
    <w:rsid w:val="00EF775F"/>
    <w:rsid w:val="00F01250"/>
    <w:rsid w:val="00F05D38"/>
    <w:rsid w:val="00F0782A"/>
    <w:rsid w:val="00F1508F"/>
    <w:rsid w:val="00F210F0"/>
    <w:rsid w:val="00F252A2"/>
    <w:rsid w:val="00F27645"/>
    <w:rsid w:val="00F30382"/>
    <w:rsid w:val="00F30FBB"/>
    <w:rsid w:val="00F32FC5"/>
    <w:rsid w:val="00F34245"/>
    <w:rsid w:val="00F414D1"/>
    <w:rsid w:val="00F420C6"/>
    <w:rsid w:val="00F4629A"/>
    <w:rsid w:val="00F470A6"/>
    <w:rsid w:val="00F51386"/>
    <w:rsid w:val="00F53584"/>
    <w:rsid w:val="00F53A17"/>
    <w:rsid w:val="00F619E9"/>
    <w:rsid w:val="00F63035"/>
    <w:rsid w:val="00F65593"/>
    <w:rsid w:val="00F6710F"/>
    <w:rsid w:val="00F67E9D"/>
    <w:rsid w:val="00F73147"/>
    <w:rsid w:val="00F73BE3"/>
    <w:rsid w:val="00F76476"/>
    <w:rsid w:val="00F81FCD"/>
    <w:rsid w:val="00F84E4D"/>
    <w:rsid w:val="00F85D94"/>
    <w:rsid w:val="00F87A48"/>
    <w:rsid w:val="00F9617D"/>
    <w:rsid w:val="00FA16AC"/>
    <w:rsid w:val="00FA16C2"/>
    <w:rsid w:val="00FA200F"/>
    <w:rsid w:val="00FA2297"/>
    <w:rsid w:val="00FB77C2"/>
    <w:rsid w:val="00FC15DB"/>
    <w:rsid w:val="00FC2954"/>
    <w:rsid w:val="00FD0F6F"/>
    <w:rsid w:val="00FD7A58"/>
    <w:rsid w:val="00FE3686"/>
    <w:rsid w:val="00FE5EE8"/>
    <w:rsid w:val="00FF63CD"/>
    <w:rsid w:val="00FF63E9"/>
    <w:rsid w:val="00FF7C1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rules v:ext="edit">
        <o:r id="V:Rule2" type="connector" idref="#AutoShape 3"/>
      </o:rules>
    </o:shapelayout>
  </w:shapeDefaults>
  <w:decimalSymbol w:val=","/>
  <w:listSeparator w:val=";"/>
  <w14:docId w14:val="3D959FA0"/>
  <w15:docId w15:val="{5182E0E9-2EB4-4FF5-ADDA-FB4E6B89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31"/>
  </w:style>
  <w:style w:type="paragraph" w:styleId="Titre1">
    <w:name w:val="heading 1"/>
    <w:basedOn w:val="Normal"/>
    <w:next w:val="Normal"/>
    <w:link w:val="Titre1Car"/>
    <w:uiPriority w:val="9"/>
    <w:qFormat/>
    <w:rsid w:val="002473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C86DE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EE6C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E5D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5DD7"/>
    <w:rPr>
      <w:rFonts w:ascii="Tahoma" w:hAnsi="Tahoma" w:cs="Tahoma"/>
      <w:sz w:val="16"/>
      <w:szCs w:val="16"/>
    </w:rPr>
  </w:style>
  <w:style w:type="paragraph" w:styleId="Paragraphedeliste">
    <w:name w:val="List Paragraph"/>
    <w:basedOn w:val="Normal"/>
    <w:uiPriority w:val="34"/>
    <w:qFormat/>
    <w:rsid w:val="00571FE1"/>
    <w:pPr>
      <w:ind w:left="720"/>
      <w:contextualSpacing/>
    </w:pPr>
  </w:style>
  <w:style w:type="paragraph" w:styleId="En-tte">
    <w:name w:val="header"/>
    <w:basedOn w:val="Normal"/>
    <w:link w:val="En-tteCar"/>
    <w:uiPriority w:val="99"/>
    <w:semiHidden/>
    <w:unhideWhenUsed/>
    <w:rsid w:val="007B3BE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B3BE1"/>
  </w:style>
  <w:style w:type="paragraph" w:styleId="Pieddepage">
    <w:name w:val="footer"/>
    <w:basedOn w:val="Normal"/>
    <w:link w:val="PieddepageCar"/>
    <w:uiPriority w:val="99"/>
    <w:unhideWhenUsed/>
    <w:rsid w:val="007B3B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3BE1"/>
  </w:style>
  <w:style w:type="character" w:customStyle="1" w:styleId="Titre2Car">
    <w:name w:val="Titre 2 Car"/>
    <w:basedOn w:val="Policepardfaut"/>
    <w:link w:val="Titre2"/>
    <w:uiPriority w:val="9"/>
    <w:rsid w:val="00C86DE7"/>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C86DE7"/>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8631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24730F"/>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EE6C59"/>
    <w:rPr>
      <w:rFonts w:asciiTheme="majorHAnsi" w:eastAsiaTheme="majorEastAsia" w:hAnsiTheme="majorHAnsi" w:cstheme="majorBidi"/>
      <w:b/>
      <w:bCs/>
      <w:color w:val="4F81BD" w:themeColor="accent1"/>
    </w:rPr>
  </w:style>
  <w:style w:type="character" w:styleId="Marquedecommentaire">
    <w:name w:val="annotation reference"/>
    <w:basedOn w:val="Policepardfaut"/>
    <w:uiPriority w:val="99"/>
    <w:semiHidden/>
    <w:unhideWhenUsed/>
    <w:rsid w:val="000236CE"/>
    <w:rPr>
      <w:sz w:val="16"/>
      <w:szCs w:val="16"/>
    </w:rPr>
  </w:style>
  <w:style w:type="paragraph" w:styleId="Commentaire">
    <w:name w:val="annotation text"/>
    <w:basedOn w:val="Normal"/>
    <w:link w:val="CommentaireCar"/>
    <w:uiPriority w:val="99"/>
    <w:semiHidden/>
    <w:unhideWhenUsed/>
    <w:rsid w:val="000236CE"/>
    <w:pPr>
      <w:spacing w:line="240" w:lineRule="auto"/>
    </w:pPr>
    <w:rPr>
      <w:sz w:val="20"/>
      <w:szCs w:val="20"/>
    </w:rPr>
  </w:style>
  <w:style w:type="character" w:customStyle="1" w:styleId="CommentaireCar">
    <w:name w:val="Commentaire Car"/>
    <w:basedOn w:val="Policepardfaut"/>
    <w:link w:val="Commentaire"/>
    <w:uiPriority w:val="99"/>
    <w:semiHidden/>
    <w:rsid w:val="000236CE"/>
    <w:rPr>
      <w:sz w:val="20"/>
      <w:szCs w:val="20"/>
    </w:rPr>
  </w:style>
  <w:style w:type="paragraph" w:customStyle="1" w:styleId="xmsonormal">
    <w:name w:val="x_msonormal"/>
    <w:basedOn w:val="Normal"/>
    <w:rsid w:val="005365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2315C"/>
    <w:rPr>
      <w:color w:val="0000FF"/>
      <w:u w:val="single"/>
    </w:rPr>
  </w:style>
  <w:style w:type="character" w:styleId="lev">
    <w:name w:val="Strong"/>
    <w:basedOn w:val="Policepardfaut"/>
    <w:uiPriority w:val="22"/>
    <w:qFormat/>
    <w:rsid w:val="001034AE"/>
    <w:rPr>
      <w:b/>
      <w:bCs/>
    </w:rPr>
  </w:style>
  <w:style w:type="paragraph" w:styleId="Objetducommentaire">
    <w:name w:val="annotation subject"/>
    <w:basedOn w:val="Commentaire"/>
    <w:next w:val="Commentaire"/>
    <w:link w:val="ObjetducommentaireCar"/>
    <w:uiPriority w:val="99"/>
    <w:semiHidden/>
    <w:unhideWhenUsed/>
    <w:rsid w:val="00884B89"/>
    <w:rPr>
      <w:b/>
      <w:bCs/>
    </w:rPr>
  </w:style>
  <w:style w:type="character" w:customStyle="1" w:styleId="ObjetducommentaireCar">
    <w:name w:val="Objet du commentaire Car"/>
    <w:basedOn w:val="CommentaireCar"/>
    <w:link w:val="Objetducommentaire"/>
    <w:uiPriority w:val="99"/>
    <w:semiHidden/>
    <w:rsid w:val="00884B89"/>
    <w:rPr>
      <w:b/>
      <w:bCs/>
      <w:sz w:val="20"/>
      <w:szCs w:val="20"/>
    </w:rPr>
  </w:style>
  <w:style w:type="paragraph" w:styleId="Rvision">
    <w:name w:val="Revision"/>
    <w:hidden/>
    <w:uiPriority w:val="99"/>
    <w:semiHidden/>
    <w:rsid w:val="00211BB2"/>
    <w:pPr>
      <w:spacing w:after="0" w:line="240" w:lineRule="auto"/>
    </w:pPr>
  </w:style>
  <w:style w:type="paragraph" w:styleId="Sansinterligne">
    <w:name w:val="No Spacing"/>
    <w:uiPriority w:val="1"/>
    <w:qFormat/>
    <w:rsid w:val="00216F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09510">
      <w:bodyDiv w:val="1"/>
      <w:marLeft w:val="0"/>
      <w:marRight w:val="0"/>
      <w:marTop w:val="0"/>
      <w:marBottom w:val="0"/>
      <w:divBdr>
        <w:top w:val="none" w:sz="0" w:space="0" w:color="auto"/>
        <w:left w:val="none" w:sz="0" w:space="0" w:color="auto"/>
        <w:bottom w:val="none" w:sz="0" w:space="0" w:color="auto"/>
        <w:right w:val="none" w:sz="0" w:space="0" w:color="auto"/>
      </w:divBdr>
    </w:div>
    <w:div w:id="945044362">
      <w:bodyDiv w:val="1"/>
      <w:marLeft w:val="0"/>
      <w:marRight w:val="0"/>
      <w:marTop w:val="0"/>
      <w:marBottom w:val="0"/>
      <w:divBdr>
        <w:top w:val="none" w:sz="0" w:space="0" w:color="auto"/>
        <w:left w:val="none" w:sz="0" w:space="0" w:color="auto"/>
        <w:bottom w:val="none" w:sz="0" w:space="0" w:color="auto"/>
        <w:right w:val="none" w:sz="0" w:space="0" w:color="auto"/>
      </w:divBdr>
    </w:div>
    <w:div w:id="1152217720">
      <w:bodyDiv w:val="1"/>
      <w:marLeft w:val="0"/>
      <w:marRight w:val="0"/>
      <w:marTop w:val="0"/>
      <w:marBottom w:val="0"/>
      <w:divBdr>
        <w:top w:val="none" w:sz="0" w:space="0" w:color="auto"/>
        <w:left w:val="none" w:sz="0" w:space="0" w:color="auto"/>
        <w:bottom w:val="none" w:sz="0" w:space="0" w:color="auto"/>
        <w:right w:val="none" w:sz="0" w:space="0" w:color="auto"/>
      </w:divBdr>
    </w:div>
    <w:div w:id="1774477409">
      <w:bodyDiv w:val="1"/>
      <w:marLeft w:val="0"/>
      <w:marRight w:val="0"/>
      <w:marTop w:val="0"/>
      <w:marBottom w:val="0"/>
      <w:divBdr>
        <w:top w:val="none" w:sz="0" w:space="0" w:color="auto"/>
        <w:left w:val="none" w:sz="0" w:space="0" w:color="auto"/>
        <w:bottom w:val="none" w:sz="0" w:space="0" w:color="auto"/>
        <w:right w:val="none" w:sz="0" w:space="0" w:color="auto"/>
      </w:divBdr>
    </w:div>
    <w:div w:id="1853377961">
      <w:bodyDiv w:val="1"/>
      <w:marLeft w:val="0"/>
      <w:marRight w:val="0"/>
      <w:marTop w:val="0"/>
      <w:marBottom w:val="0"/>
      <w:divBdr>
        <w:top w:val="none" w:sz="0" w:space="0" w:color="auto"/>
        <w:left w:val="none" w:sz="0" w:space="0" w:color="auto"/>
        <w:bottom w:val="none" w:sz="0" w:space="0" w:color="auto"/>
        <w:right w:val="none" w:sz="0" w:space="0" w:color="auto"/>
      </w:divBdr>
    </w:div>
    <w:div w:id="198535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vm-data\Commun_Finances\Travail\Budget\Tableaux%20RO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layout>
                <c:manualLayout>
                  <c:x val="0.1187615914740342"/>
                  <c:y val="4.628050483051343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1481-4A3A-8B18-1671873E6176}"/>
                </c:ext>
              </c:extLst>
            </c:dLbl>
            <c:dLbl>
              <c:idx val="1"/>
              <c:layout>
                <c:manualLayout>
                  <c:x val="9.5309825402260066E-3"/>
                  <c:y val="1.214301669738092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481-4A3A-8B18-1671873E6176}"/>
                </c:ext>
              </c:extLst>
            </c:dLbl>
            <c:dLbl>
              <c:idx val="2"/>
              <c:layout>
                <c:manualLayout>
                  <c:x val="8.1021687033922249E-2"/>
                  <c:y val="-1.813173619255040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1481-4A3A-8B18-1671873E6176}"/>
                </c:ext>
              </c:extLst>
            </c:dLbl>
            <c:dLbl>
              <c:idx val="3"/>
              <c:layout>
                <c:manualLayout>
                  <c:x val="-8.4192578868818063E-2"/>
                  <c:y val="-9.033941780004771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481-4A3A-8B18-1671873E6176}"/>
                </c:ext>
              </c:extLst>
            </c:dLbl>
            <c:dLbl>
              <c:idx val="4"/>
              <c:layout>
                <c:manualLayout>
                  <c:x val="-4.5628209517288604E-2"/>
                  <c:y val="7.1832244373708923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1481-4A3A-8B18-1671873E6176}"/>
                </c:ext>
              </c:extLst>
            </c:dLbl>
            <c:dLbl>
              <c:idx val="5"/>
              <c:layout>
                <c:manualLayout>
                  <c:x val="-9.6741933723312967E-2"/>
                  <c:y val="8.750404869604132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481-4A3A-8B18-1671873E6176}"/>
                </c:ext>
              </c:extLst>
            </c:dLbl>
            <c:spPr>
              <a:noFill/>
              <a:ln>
                <a:noFill/>
              </a:ln>
              <a:effectLst/>
            </c:spPr>
            <c:txPr>
              <a:bodyPr/>
              <a:lstStyle/>
              <a:p>
                <a:pPr>
                  <a:defRPr baseline="0">
                    <a:latin typeface="Arial" pitchFamily="34" charset="0"/>
                  </a:defRPr>
                </a:pPr>
                <a:endParaRPr lang="fr-FR"/>
              </a:p>
            </c:txPr>
            <c:showLegendKey val="0"/>
            <c:showVal val="0"/>
            <c:showCatName val="1"/>
            <c:showSerName val="0"/>
            <c:showPercent val="1"/>
            <c:showBubbleSize val="0"/>
            <c:showLeaderLines val="1"/>
            <c:extLst>
              <c:ext xmlns:c15="http://schemas.microsoft.com/office/drawing/2012/chart" uri="{CE6537A1-D6FC-4f65-9D91-7224C49458BB}"/>
            </c:extLst>
          </c:dLbls>
          <c:cat>
            <c:strRef>
              <c:f>Dette!$F$49:$F$55</c:f>
              <c:strCache>
                <c:ptCount val="7"/>
                <c:pt idx="0">
                  <c:v>Caisse française de financement local</c:v>
                </c:pt>
                <c:pt idx="1">
                  <c:v>Caisse d'épargne Ile-de-France</c:v>
                </c:pt>
                <c:pt idx="2">
                  <c:v>Société générale</c:v>
                </c:pt>
                <c:pt idx="3">
                  <c:v>Landesbank Saar </c:v>
                </c:pt>
                <c:pt idx="4">
                  <c:v>La Banque Postale </c:v>
                </c:pt>
                <c:pt idx="5">
                  <c:v>Banque Internationale à Luxembourg</c:v>
                </c:pt>
                <c:pt idx="6">
                  <c:v>Crédit Mutuel Ile-de-France</c:v>
                </c:pt>
              </c:strCache>
            </c:strRef>
          </c:cat>
          <c:val>
            <c:numRef>
              <c:f>Dette!$G$49:$G$55</c:f>
              <c:numCache>
                <c:formatCode>0%</c:formatCode>
                <c:ptCount val="7"/>
                <c:pt idx="0">
                  <c:v>0.16602140477610219</c:v>
                </c:pt>
                <c:pt idx="1">
                  <c:v>0.27594005231565072</c:v>
                </c:pt>
                <c:pt idx="2">
                  <c:v>2.7391630077181612E-2</c:v>
                </c:pt>
                <c:pt idx="3">
                  <c:v>0.12521888035283063</c:v>
                </c:pt>
                <c:pt idx="4">
                  <c:v>0.24160508932354613</c:v>
                </c:pt>
                <c:pt idx="5">
                  <c:v>0.12521888035283063</c:v>
                </c:pt>
                <c:pt idx="6">
                  <c:v>3.860406280186101E-2</c:v>
                </c:pt>
              </c:numCache>
            </c:numRef>
          </c:val>
          <c:extLst>
            <c:ext xmlns:c16="http://schemas.microsoft.com/office/drawing/2014/chart" uri="{C3380CC4-5D6E-409C-BE32-E72D297353CC}">
              <c16:uniqueId val="{00000006-1481-4A3A-8B18-1671873E6176}"/>
            </c:ext>
          </c:extLst>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7EFDA-D0A5-4032-9BB2-393E758C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19</Pages>
  <Words>6669</Words>
  <Characters>36683</Characters>
  <Application>Microsoft Office Word</Application>
  <DocSecurity>0</DocSecurity>
  <Lines>305</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maitena.ryckbosch</dc:creator>
  <cp:lastModifiedBy>Marjorie GUIN</cp:lastModifiedBy>
  <cp:revision>28</cp:revision>
  <cp:lastPrinted>2022-01-20T14:53:00Z</cp:lastPrinted>
  <dcterms:created xsi:type="dcterms:W3CDTF">2022-01-20T15:41:00Z</dcterms:created>
  <dcterms:modified xsi:type="dcterms:W3CDTF">2022-02-04T16:36:00Z</dcterms:modified>
</cp:coreProperties>
</file>